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379"/>
      </w:tblGrid>
      <w:tr>
        <w:trPr>
          <w:trHeight w:val="698"/>
          <w:jc w:val="center"/>
        </w:trPr>
        <w:tc>
          <w:tcPr>
            <w:tcW w:w="2830" w:type="dxa"/>
          </w:tcPr>
          <w:p>
            <w:pPr>
              <w:widowControl w:val="0"/>
              <w:jc w:val="center"/>
              <w:rPr>
                <w:rFonts w:ascii="Times New Roman" w:hAnsi="Times New Roman"/>
                <w:b/>
              </w:rPr>
            </w:pPr>
            <w:r>
              <w:rPr>
                <w:rFonts w:ascii="Times New Roman" w:hAnsi="Times New Roman"/>
                <w:b/>
              </w:rPr>
              <w:t>ỦY BAN NHÂN DÂN</w:t>
            </w:r>
          </w:p>
          <w:p>
            <w:pPr>
              <w:widowControl w:val="0"/>
              <w:jc w:val="center"/>
              <w:rPr>
                <w:rFonts w:ascii="Times New Roman" w:hAnsi="Times New Roman"/>
                <w:b/>
              </w:rPr>
            </w:pPr>
            <w:r>
              <w:rPr>
                <w:b/>
                <w:noProof/>
              </w:rPr>
              <mc:AlternateContent>
                <mc:Choice Requires="wps">
                  <w:drawing>
                    <wp:anchor distT="0" distB="0" distL="114300" distR="114300" simplePos="0" relativeHeight="251660288" behindDoc="0" locked="0" layoutInCell="1" allowOverlap="1">
                      <wp:simplePos x="0" y="0"/>
                      <wp:positionH relativeFrom="column">
                        <wp:posOffset>447040</wp:posOffset>
                      </wp:positionH>
                      <wp:positionV relativeFrom="paragraph">
                        <wp:posOffset>209550</wp:posOffset>
                      </wp:positionV>
                      <wp:extent cx="7429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F5B61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2pt,16.5pt" to="93.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" strokecolor="#4472c4 [3204]" strokeweight=".5pt">
                      <v:stroke joinstyle="miter"/>
                    </v:line>
                  </w:pict>
                </mc:Fallback>
              </mc:AlternateContent>
            </w:r>
            <w:r>
              <w:rPr>
                <w:rFonts w:ascii="Times New Roman" w:hAnsi="Times New Roman"/>
                <w:b/>
              </w:rPr>
              <w:t>XÃ QUANG DIỆM</w:t>
            </w:r>
          </w:p>
        </w:tc>
        <w:tc>
          <w:tcPr>
            <w:tcW w:w="6379" w:type="dxa"/>
          </w:tcPr>
          <w:p>
            <w:pPr>
              <w:widowControl w:val="0"/>
              <w:jc w:val="center"/>
              <w:rPr>
                <w:rFonts w:ascii="Times New Roman" w:hAnsi="Times New Roman"/>
                <w:b/>
              </w:rPr>
            </w:pPr>
            <w:r>
              <w:rPr>
                <w:rFonts w:ascii="Times New Roman" w:hAnsi="Times New Roman"/>
                <w:b/>
              </w:rPr>
              <w:t>CỘNG HÒA XÃ HỘI CHỦ NGHĨA VIỆT NAM</w:t>
            </w:r>
          </w:p>
          <w:p>
            <w:pPr>
              <w:widowControl w:val="0"/>
              <w:jc w:val="center"/>
              <w:rPr>
                <w:rFonts w:ascii="Times New Roman" w:hAnsi="Times New Roman"/>
                <w:b/>
              </w:rPr>
            </w:pPr>
            <w:bookmarkStart w:id="0" w:name="_GoBack"/>
            <w:r>
              <w:rPr>
                <w:b/>
                <w:noProof/>
                <w:sz w:val="26"/>
              </w:rPr>
              <mc:AlternateContent>
                <mc:Choice Requires="wps">
                  <w:drawing>
                    <wp:anchor distT="0" distB="0" distL="114300" distR="114300" simplePos="0" relativeHeight="251659264" behindDoc="0" locked="0" layoutInCell="1" allowOverlap="1">
                      <wp:simplePos x="0" y="0"/>
                      <wp:positionH relativeFrom="column">
                        <wp:posOffset>908685</wp:posOffset>
                      </wp:positionH>
                      <wp:positionV relativeFrom="paragraph">
                        <wp:posOffset>190297</wp:posOffset>
                      </wp:positionV>
                      <wp:extent cx="208800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5pt,15pt" to="23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" strokecolor="black [3200]" strokeweight=".5pt">
                      <v:stroke joinstyle="miter"/>
                    </v:line>
                  </w:pict>
                </mc:Fallback>
              </mc:AlternateContent>
            </w:r>
            <w:bookmarkEnd w:id="0"/>
            <w:r>
              <w:rPr>
                <w:rFonts w:ascii="Times New Roman" w:hAnsi="Times New Roman"/>
                <w:b/>
                <w:sz w:val="26"/>
              </w:rPr>
              <w:t>Độc lập – Tự do – Hạnh phúc</w:t>
            </w:r>
          </w:p>
        </w:tc>
      </w:tr>
      <w:tr>
        <w:trPr>
          <w:trHeight w:val="552"/>
          <w:jc w:val="center"/>
        </w:trPr>
        <w:tc>
          <w:tcPr>
            <w:tcW w:w="2830" w:type="dxa"/>
            <w:vAlign w:val="center"/>
          </w:tcPr>
          <w:p>
            <w:pPr>
              <w:widowControl w:val="0"/>
              <w:jc w:val="center"/>
              <w:rPr>
                <w:rFonts w:ascii="Times New Roman" w:hAnsi="Times New Roman"/>
                <w:sz w:val="26"/>
                <w:szCs w:val="26"/>
              </w:rPr>
            </w:pPr>
            <w:r>
              <w:rPr>
                <w:rFonts w:ascii="Times New Roman" w:hAnsi="Times New Roman"/>
                <w:sz w:val="26"/>
                <w:szCs w:val="26"/>
              </w:rPr>
              <w:t>Số:     /BC-UBND</w:t>
            </w:r>
          </w:p>
        </w:tc>
        <w:tc>
          <w:tcPr>
            <w:tcW w:w="6379" w:type="dxa"/>
            <w:vAlign w:val="center"/>
          </w:tcPr>
          <w:p>
            <w:pPr>
              <w:widowControl w:val="0"/>
              <w:jc w:val="center"/>
              <w:rPr>
                <w:rFonts w:ascii="Times New Roman" w:hAnsi="Times New Roman"/>
                <w:i/>
                <w:sz w:val="26"/>
                <w:szCs w:val="26"/>
              </w:rPr>
            </w:pPr>
            <w:r>
              <w:rPr>
                <w:rFonts w:ascii="Times New Roman" w:hAnsi="Times New Roman"/>
                <w:i/>
                <w:sz w:val="26"/>
                <w:szCs w:val="26"/>
              </w:rPr>
              <w:t>Quang Diệm, ngày 12 tháng 5 năm 2024</w:t>
            </w:r>
          </w:p>
        </w:tc>
      </w:tr>
    </w:tbl>
    <w:p>
      <w:pPr>
        <w:widowControl w:val="0"/>
      </w:pPr>
    </w:p>
    <w:p>
      <w:pPr>
        <w:widowControl w:val="0"/>
      </w:pPr>
    </w:p>
    <w:p>
      <w:pPr>
        <w:widowControl w:val="0"/>
        <w:jc w:val="center"/>
        <w:rPr>
          <w:b/>
          <w:sz w:val="28"/>
          <w:szCs w:val="28"/>
        </w:rPr>
      </w:pPr>
      <w:r>
        <w:rPr>
          <w:b/>
          <w:sz w:val="28"/>
          <w:szCs w:val="28"/>
        </w:rPr>
        <w:t>BÁO CÁO</w:t>
      </w:r>
    </w:p>
    <w:p>
      <w:pPr>
        <w:widowControl w:val="0"/>
        <w:jc w:val="center"/>
        <w:rPr>
          <w:b/>
          <w:sz w:val="28"/>
          <w:szCs w:val="28"/>
        </w:rPr>
      </w:pPr>
      <w:r>
        <w:rPr>
          <w:b/>
          <w:sz w:val="28"/>
          <w:szCs w:val="28"/>
        </w:rPr>
        <w:t>Kết quả thực hiện công tác tiếp công dân, giải quyết khiếu nại, tố cáo</w:t>
      </w:r>
    </w:p>
    <w:p>
      <w:pPr>
        <w:widowControl w:val="0"/>
        <w:jc w:val="center"/>
        <w:rPr>
          <w:i/>
          <w:sz w:val="28"/>
          <w:szCs w:val="28"/>
        </w:rPr>
      </w:pPr>
      <w:r>
        <w:rPr>
          <w:i/>
          <w:sz w:val="28"/>
          <w:szCs w:val="28"/>
        </w:rPr>
        <w:t>(Thời kỳ báo cáo 15/4/2024 đến ngày 12/5/2024)</w:t>
      </w:r>
    </w:p>
    <w:p>
      <w:pPr>
        <w:widowControl w:val="0"/>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2291714</wp:posOffset>
                </wp:positionH>
                <wp:positionV relativeFrom="paragraph">
                  <wp:posOffset>36830</wp:posOffset>
                </wp:positionV>
                <wp:extent cx="11715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171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18AFF9"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0.45pt,2.9pt" to="272.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" strokecolor="#4472c4 [3204]" strokeweight=".5pt">
                <v:stroke joinstyle="miter"/>
              </v:line>
            </w:pict>
          </mc:Fallback>
        </mc:AlternateContent>
      </w:r>
    </w:p>
    <w:p>
      <w:pPr>
        <w:widowControl w:val="0"/>
        <w:jc w:val="center"/>
        <w:rPr>
          <w:sz w:val="28"/>
          <w:szCs w:val="28"/>
        </w:rPr>
      </w:pPr>
      <w:r>
        <w:rPr>
          <w:sz w:val="28"/>
          <w:szCs w:val="28"/>
        </w:rPr>
        <w:t>Kính gửi: Thanh tra Huyện Hương Sơn</w:t>
      </w:r>
    </w:p>
    <w:p>
      <w:pPr>
        <w:widowControl w:val="0"/>
        <w:rPr>
          <w:sz w:val="28"/>
          <w:szCs w:val="28"/>
        </w:rPr>
      </w:pPr>
    </w:p>
    <w:p>
      <w:pPr>
        <w:widowControl w:val="0"/>
        <w:jc w:val="center"/>
        <w:rPr>
          <w:b/>
          <w:bCs/>
          <w:sz w:val="28"/>
          <w:szCs w:val="28"/>
        </w:rPr>
      </w:pPr>
    </w:p>
    <w:p>
      <w:pPr>
        <w:widowControl w:val="0"/>
        <w:spacing w:after="120"/>
        <w:ind w:firstLine="720"/>
        <w:jc w:val="both"/>
        <w:rPr>
          <w:sz w:val="28"/>
          <w:szCs w:val="28"/>
        </w:rPr>
      </w:pPr>
      <w:r>
        <w:rPr>
          <w:b/>
          <w:bCs/>
          <w:sz w:val="28"/>
          <w:szCs w:val="28"/>
        </w:rPr>
        <w:t>I. TÌNH HÌNH KHIẾU NẠI, TỐ CÁO</w:t>
      </w:r>
    </w:p>
    <w:p>
      <w:pPr>
        <w:widowControl w:val="0"/>
        <w:spacing w:after="120"/>
        <w:ind w:firstLine="720"/>
        <w:jc w:val="both"/>
        <w:rPr>
          <w:sz w:val="28"/>
          <w:szCs w:val="28"/>
        </w:rPr>
      </w:pPr>
      <w:r>
        <w:rPr>
          <w:b/>
          <w:bCs/>
          <w:sz w:val="28"/>
          <w:szCs w:val="28"/>
        </w:rPr>
        <w:t>1. Tình hình khiếu nại, tố cáo</w:t>
      </w:r>
    </w:p>
    <w:p>
      <w:pPr>
        <w:widowControl w:val="0"/>
        <w:spacing w:after="120"/>
        <w:ind w:firstLine="720"/>
        <w:jc w:val="both"/>
        <w:rPr>
          <w:sz w:val="28"/>
          <w:szCs w:val="28"/>
        </w:rPr>
      </w:pPr>
      <w:r>
        <w:rPr>
          <w:sz w:val="28"/>
          <w:szCs w:val="28"/>
        </w:rPr>
        <w:t xml:space="preserve">Trong thời gian vừa qua Đảng uỷ, chính quyền xã bố trí lịch tiếp công dân đúng quy định, thường xuyên chỉ đạo kiểm tra, rà soát các văn bản chỉ đạo, điều hành của cấp trên nhằm thực hiện có hiệu quả nhiệm vụ giải quyết khiếu nại, tố cáo, kiến nghị, phản ánh thuộc thẩm quyền và đúng quy định pháp luật. </w:t>
      </w:r>
    </w:p>
    <w:p>
      <w:pPr>
        <w:widowControl w:val="0"/>
        <w:spacing w:after="120"/>
        <w:ind w:firstLine="720"/>
        <w:jc w:val="both"/>
        <w:rPr>
          <w:sz w:val="28"/>
          <w:szCs w:val="28"/>
        </w:rPr>
      </w:pPr>
      <w:r>
        <w:rPr>
          <w:sz w:val="28"/>
          <w:szCs w:val="28"/>
        </w:rPr>
        <w:t>a) Về khiếu nại: Trong tháng không phát sinh đơn thư khiếu nại</w:t>
      </w:r>
    </w:p>
    <w:p>
      <w:pPr>
        <w:widowControl w:val="0"/>
        <w:spacing w:after="120"/>
        <w:ind w:firstLine="720"/>
        <w:jc w:val="both"/>
        <w:rPr>
          <w:sz w:val="28"/>
          <w:szCs w:val="28"/>
        </w:rPr>
      </w:pPr>
      <w:r>
        <w:rPr>
          <w:sz w:val="28"/>
          <w:szCs w:val="28"/>
        </w:rPr>
        <w:t>b) Về tố cáo: Trong tháng không phát sinh đơn tố cáo</w:t>
      </w:r>
    </w:p>
    <w:p>
      <w:pPr>
        <w:widowControl w:val="0"/>
        <w:spacing w:after="120"/>
        <w:ind w:firstLine="720"/>
        <w:jc w:val="both"/>
        <w:rPr>
          <w:sz w:val="28"/>
          <w:szCs w:val="28"/>
        </w:rPr>
      </w:pPr>
      <w:r>
        <w:rPr>
          <w:b/>
          <w:bCs/>
          <w:sz w:val="28"/>
          <w:szCs w:val="28"/>
        </w:rPr>
        <w:t>2. Nguyên nhân của tình hình khiếu nại, tố cáo</w:t>
      </w:r>
    </w:p>
    <w:p>
      <w:pPr>
        <w:widowControl w:val="0"/>
        <w:spacing w:after="120"/>
        <w:ind w:firstLine="720"/>
        <w:jc w:val="both"/>
        <w:rPr>
          <w:b/>
          <w:sz w:val="28"/>
          <w:szCs w:val="28"/>
        </w:rPr>
      </w:pPr>
      <w:r>
        <w:rPr>
          <w:b/>
          <w:sz w:val="28"/>
          <w:szCs w:val="28"/>
        </w:rPr>
        <w:t>*. Nguyên nhân khách quan:</w:t>
      </w:r>
    </w:p>
    <w:p>
      <w:pPr>
        <w:widowControl w:val="0"/>
        <w:spacing w:after="120"/>
        <w:ind w:firstLine="720"/>
        <w:jc w:val="both"/>
        <w:rPr>
          <w:sz w:val="28"/>
          <w:szCs w:val="28"/>
          <w:lang w:val="nl-NL"/>
        </w:rPr>
      </w:pPr>
      <w:r>
        <w:rPr>
          <w:sz w:val="28"/>
          <w:szCs w:val="28"/>
          <w:lang w:val="nl-NL"/>
        </w:rPr>
        <w:t>Nhìn chung công tác tiếp công dân trong thời gian qua đã được quan tâm đúng mức, cơ bản đã giải quyết được các vấn đề bức xúc của nhân dân.</w:t>
      </w:r>
    </w:p>
    <w:p>
      <w:pPr>
        <w:widowControl w:val="0"/>
        <w:spacing w:after="120"/>
        <w:ind w:firstLine="720"/>
        <w:jc w:val="both"/>
        <w:rPr>
          <w:sz w:val="28"/>
          <w:szCs w:val="28"/>
          <w:lang w:val="nl-NL"/>
        </w:rPr>
      </w:pPr>
      <w:r>
        <w:rPr>
          <w:sz w:val="28"/>
          <w:szCs w:val="28"/>
          <w:lang w:val="nl-NL"/>
        </w:rPr>
        <w:t>Người dân ngày càng có nhận thức, hiểu biết về các chủ trương, chính sách của Đảng, Pháp luật của nhà nước, các quy định nên việc phản ánh kiến nghị cũng tập trung hơn.</w:t>
      </w:r>
    </w:p>
    <w:p>
      <w:pPr>
        <w:widowControl w:val="0"/>
        <w:spacing w:after="120"/>
        <w:ind w:firstLine="720"/>
        <w:jc w:val="both"/>
        <w:rPr>
          <w:sz w:val="28"/>
          <w:szCs w:val="28"/>
          <w:lang w:val="nl-NL"/>
        </w:rPr>
      </w:pPr>
      <w:r>
        <w:rPr>
          <w:sz w:val="28"/>
          <w:szCs w:val="28"/>
          <w:lang w:val="nl-NL"/>
        </w:rPr>
        <w:t xml:space="preserve">Bên cạnh đó Đảng ủy, chính quyền địa phương luôn quan tâm công tác lãnh đạo chỉ đạo giải quyết tâm tư nguyện vọng chính đáng của nhân dân. </w:t>
      </w:r>
    </w:p>
    <w:p>
      <w:pPr>
        <w:widowControl w:val="0"/>
        <w:spacing w:after="120"/>
        <w:ind w:firstLine="720"/>
        <w:jc w:val="both"/>
        <w:rPr>
          <w:b/>
          <w:sz w:val="28"/>
          <w:szCs w:val="28"/>
          <w:lang w:val="nl-NL"/>
        </w:rPr>
      </w:pPr>
      <w:r>
        <w:rPr>
          <w:b/>
          <w:sz w:val="28"/>
          <w:szCs w:val="28"/>
          <w:lang w:val="nl-NL"/>
        </w:rPr>
        <w:t>*. Nguyên nhân chủ quan:</w:t>
      </w:r>
    </w:p>
    <w:p>
      <w:pPr>
        <w:ind w:firstLine="686"/>
        <w:jc w:val="both"/>
        <w:rPr>
          <w:sz w:val="28"/>
          <w:szCs w:val="28"/>
        </w:rPr>
      </w:pPr>
      <w:r>
        <w:rPr>
          <w:sz w:val="28"/>
          <w:szCs w:val="28"/>
        </w:rPr>
        <w:t xml:space="preserve">Cấp uỷ, chính quyền xã đã tập trung chỉ đạo các ban ngành đoàn thể thực hiện đồng bộ các giải pháp, phát huy sức mạnh tổng hợp của cả hệ thống chính trị, vai trò lãnh đạo của các cấp ủy đảng, trách nhiệm của chính quyền, sự giám sát của HĐND, Ủy ban MTTQ, không để khiếu nại, tố cáo đông người xảy ra, hạn chế tối đa việc phát sinh khiếu nại, tố cáo vượt cấp; trong đó tập trung vào các vụ việc tồn đọng, phức tạp, kéo dài. Thực hiện nghiêm việc tiếp công dân; tăng cường chỉ đạo kiểm tra trách nhiệm của người đứng đầu đơn vị trong việc chấp hành pháp luật khiếu nại, tố cáo. </w:t>
      </w:r>
      <w:r>
        <w:rPr>
          <w:b/>
          <w:spacing w:val="8"/>
          <w:position w:val="8"/>
          <w:sz w:val="28"/>
          <w:szCs w:val="28"/>
        </w:rPr>
        <w:t xml:space="preserve">   </w:t>
      </w:r>
    </w:p>
    <w:p>
      <w:pPr>
        <w:widowControl w:val="0"/>
        <w:spacing w:after="120"/>
        <w:ind w:firstLine="720"/>
        <w:jc w:val="both"/>
        <w:rPr>
          <w:sz w:val="28"/>
          <w:szCs w:val="28"/>
        </w:rPr>
      </w:pPr>
      <w:r>
        <w:rPr>
          <w:b/>
          <w:bCs/>
          <w:sz w:val="28"/>
          <w:szCs w:val="28"/>
        </w:rPr>
        <w:t>II. KẾT QUẢ CÔNG TÁC TIẾP CÔNG DÂN, XỬ LÝ ĐƠN, GIẢI QUYẾT KHIẾU NẠI, TỐ CÁO</w:t>
      </w:r>
    </w:p>
    <w:p>
      <w:pPr>
        <w:widowControl w:val="0"/>
        <w:spacing w:after="120"/>
        <w:ind w:firstLine="720"/>
        <w:jc w:val="both"/>
        <w:rPr>
          <w:sz w:val="28"/>
          <w:szCs w:val="28"/>
        </w:rPr>
      </w:pPr>
      <w:r>
        <w:rPr>
          <w:b/>
          <w:bCs/>
          <w:sz w:val="28"/>
          <w:szCs w:val="28"/>
        </w:rPr>
        <w:lastRenderedPageBreak/>
        <w:t>1. Công tác tiếp công dân (Biểu số 01/TCD)</w:t>
      </w:r>
    </w:p>
    <w:p>
      <w:pPr>
        <w:widowControl w:val="0"/>
        <w:spacing w:after="120"/>
        <w:ind w:firstLine="720"/>
        <w:jc w:val="both"/>
        <w:rPr>
          <w:sz w:val="28"/>
          <w:szCs w:val="28"/>
        </w:rPr>
      </w:pPr>
      <w:r>
        <w:rPr>
          <w:sz w:val="28"/>
          <w:szCs w:val="28"/>
        </w:rPr>
        <w:t xml:space="preserve">- Tổng số lượt tiếp 0, số người được tiếp 0; số vụ việc 0 (tiếp lần đầu 0); số đoàn đông người được tiếp 0 </w:t>
      </w:r>
    </w:p>
    <w:p>
      <w:pPr>
        <w:widowControl w:val="0"/>
        <w:spacing w:after="120"/>
        <w:ind w:firstLine="720"/>
        <w:jc w:val="both"/>
        <w:rPr>
          <w:sz w:val="28"/>
          <w:szCs w:val="28"/>
        </w:rPr>
      </w:pPr>
      <w:r>
        <w:rPr>
          <w:sz w:val="28"/>
          <w:szCs w:val="28"/>
        </w:rPr>
        <w:t>- Kết quả tiếp công dân của thủ trưởng: Đã bố trí thời gian Bí thư Đảng uỷ, Chủ tịch UBND xã tiếp công dân định kỳ và đột xuất đảm bảo đúng quy của Luật Tiếp công dân.</w:t>
      </w:r>
    </w:p>
    <w:p>
      <w:pPr>
        <w:widowControl w:val="0"/>
        <w:spacing w:after="120"/>
        <w:ind w:firstLine="720"/>
        <w:jc w:val="both"/>
        <w:rPr>
          <w:sz w:val="28"/>
          <w:szCs w:val="28"/>
        </w:rPr>
      </w:pPr>
      <w:r>
        <w:rPr>
          <w:b/>
          <w:bCs/>
          <w:sz w:val="28"/>
          <w:szCs w:val="28"/>
        </w:rPr>
        <w:t>2. Tiếp nhận, phân loại và xử lý đơn (Biểu số 01/XLD, 02/XLD, 03/XLD, 04/XLD)</w:t>
      </w:r>
    </w:p>
    <w:p>
      <w:pPr>
        <w:widowControl w:val="0"/>
        <w:spacing w:after="120"/>
        <w:ind w:firstLine="720"/>
        <w:jc w:val="both"/>
        <w:rPr>
          <w:sz w:val="28"/>
          <w:szCs w:val="28"/>
        </w:rPr>
      </w:pPr>
      <w:r>
        <w:rPr>
          <w:sz w:val="28"/>
          <w:szCs w:val="28"/>
        </w:rPr>
        <w:t xml:space="preserve">Gồm đơn nhận được qua tiếp công dân và đơn nhận từ các nguồn khác </w:t>
      </w:r>
    </w:p>
    <w:p>
      <w:pPr>
        <w:widowControl w:val="0"/>
        <w:spacing w:after="120"/>
        <w:ind w:firstLine="720"/>
        <w:jc w:val="both"/>
        <w:rPr>
          <w:sz w:val="28"/>
          <w:szCs w:val="28"/>
        </w:rPr>
      </w:pPr>
      <w:r>
        <w:rPr>
          <w:sz w:val="28"/>
          <w:szCs w:val="28"/>
        </w:rPr>
        <w:t>a) Tổng số đơn: 0;  Kỳ trước chuyển sang 00, tiếp nhận trong kỳ 0</w:t>
      </w:r>
    </w:p>
    <w:p>
      <w:pPr>
        <w:widowControl w:val="0"/>
        <w:spacing w:after="120"/>
        <w:ind w:firstLine="720"/>
        <w:jc w:val="both"/>
        <w:rPr>
          <w:sz w:val="28"/>
          <w:szCs w:val="28"/>
        </w:rPr>
      </w:pPr>
      <w:r>
        <w:rPr>
          <w:sz w:val="28"/>
          <w:szCs w:val="28"/>
        </w:rPr>
        <w:t>- Số đơn đã xử lý / Tổng số đơn tiếp nhận 0/0</w:t>
      </w:r>
    </w:p>
    <w:p>
      <w:pPr>
        <w:widowControl w:val="0"/>
        <w:spacing w:after="120"/>
        <w:ind w:firstLine="720"/>
        <w:jc w:val="both"/>
        <w:rPr>
          <w:sz w:val="28"/>
          <w:szCs w:val="28"/>
        </w:rPr>
      </w:pPr>
      <w:r>
        <w:rPr>
          <w:sz w:val="28"/>
          <w:szCs w:val="28"/>
        </w:rPr>
        <w:t>- Số đơn, số vụ việc đủ điều kiện xử lý: 0</w:t>
      </w:r>
    </w:p>
    <w:p>
      <w:pPr>
        <w:widowControl w:val="0"/>
        <w:spacing w:after="120"/>
        <w:ind w:firstLine="720"/>
        <w:jc w:val="both"/>
        <w:rPr>
          <w:sz w:val="28"/>
          <w:szCs w:val="28"/>
        </w:rPr>
      </w:pPr>
      <w:r>
        <w:rPr>
          <w:sz w:val="28"/>
          <w:szCs w:val="28"/>
        </w:rPr>
        <w:t>b) Phân loại, xử lý đơn</w:t>
      </w:r>
    </w:p>
    <w:p>
      <w:pPr>
        <w:widowControl w:val="0"/>
        <w:spacing w:after="120"/>
        <w:ind w:firstLine="720"/>
        <w:jc w:val="both"/>
        <w:rPr>
          <w:sz w:val="28"/>
          <w:szCs w:val="28"/>
        </w:rPr>
      </w:pPr>
      <w:r>
        <w:rPr>
          <w:sz w:val="28"/>
          <w:szCs w:val="28"/>
        </w:rPr>
        <w:t>- Phân loại theo nội dung:</w:t>
      </w:r>
    </w:p>
    <w:p>
      <w:pPr>
        <w:widowControl w:val="0"/>
        <w:spacing w:after="120"/>
        <w:ind w:firstLine="720"/>
        <w:jc w:val="both"/>
        <w:rPr>
          <w:sz w:val="28"/>
          <w:szCs w:val="28"/>
        </w:rPr>
      </w:pPr>
      <w:r>
        <w:rPr>
          <w:sz w:val="28"/>
          <w:szCs w:val="28"/>
        </w:rPr>
        <w:t>+ Số đơn, số vụ việc khiếu nại;</w:t>
      </w:r>
    </w:p>
    <w:p>
      <w:pPr>
        <w:widowControl w:val="0"/>
        <w:spacing w:after="120"/>
        <w:ind w:firstLine="720"/>
        <w:jc w:val="both"/>
        <w:rPr>
          <w:sz w:val="28"/>
          <w:szCs w:val="28"/>
        </w:rPr>
      </w:pPr>
      <w:r>
        <w:rPr>
          <w:sz w:val="28"/>
          <w:szCs w:val="28"/>
        </w:rPr>
        <w:t>+ Số đơn, số vụ việc tố cáo;</w:t>
      </w:r>
    </w:p>
    <w:p>
      <w:pPr>
        <w:widowControl w:val="0"/>
        <w:spacing w:after="120"/>
        <w:ind w:firstLine="720"/>
        <w:jc w:val="both"/>
        <w:rPr>
          <w:sz w:val="28"/>
          <w:szCs w:val="28"/>
        </w:rPr>
      </w:pPr>
      <w:r>
        <w:rPr>
          <w:sz w:val="28"/>
          <w:szCs w:val="28"/>
        </w:rPr>
        <w:t>+ Số đơn, số vụ việc kiến nghị, phản ánh: 0</w:t>
      </w:r>
    </w:p>
    <w:p>
      <w:pPr>
        <w:widowControl w:val="0"/>
        <w:spacing w:after="120"/>
        <w:ind w:firstLine="720"/>
        <w:jc w:val="both"/>
        <w:rPr>
          <w:sz w:val="28"/>
          <w:szCs w:val="28"/>
        </w:rPr>
      </w:pPr>
      <w:r>
        <w:rPr>
          <w:sz w:val="28"/>
          <w:szCs w:val="28"/>
        </w:rPr>
        <w:t>- Phân loại theo tình trạng giải quyết</w:t>
      </w:r>
    </w:p>
    <w:p>
      <w:pPr>
        <w:widowControl w:val="0"/>
        <w:spacing w:after="120"/>
        <w:ind w:firstLine="720"/>
        <w:jc w:val="both"/>
        <w:rPr>
          <w:sz w:val="28"/>
          <w:szCs w:val="28"/>
        </w:rPr>
      </w:pPr>
      <w:r>
        <w:rPr>
          <w:sz w:val="28"/>
          <w:szCs w:val="28"/>
        </w:rPr>
        <w:t>+ Số đơn, số vụ việc đã giải quyết: 0</w:t>
      </w:r>
    </w:p>
    <w:p>
      <w:pPr>
        <w:widowControl w:val="0"/>
        <w:spacing w:after="120"/>
        <w:ind w:firstLine="720"/>
        <w:jc w:val="both"/>
        <w:rPr>
          <w:sz w:val="28"/>
          <w:szCs w:val="28"/>
        </w:rPr>
      </w:pPr>
      <w:r>
        <w:rPr>
          <w:sz w:val="28"/>
          <w:szCs w:val="28"/>
        </w:rPr>
        <w:t>+ Số đơn, số vụ việc chưa giải quyết: 00</w:t>
      </w:r>
    </w:p>
    <w:p>
      <w:pPr>
        <w:widowControl w:val="0"/>
        <w:spacing w:after="120"/>
        <w:ind w:firstLine="720"/>
        <w:jc w:val="both"/>
        <w:rPr>
          <w:sz w:val="28"/>
          <w:szCs w:val="28"/>
        </w:rPr>
      </w:pPr>
      <w:r>
        <w:rPr>
          <w:sz w:val="28"/>
          <w:szCs w:val="28"/>
        </w:rPr>
        <w:t>c) Kết quả xử lý đơn</w:t>
      </w:r>
    </w:p>
    <w:p>
      <w:pPr>
        <w:widowControl w:val="0"/>
        <w:spacing w:after="120"/>
        <w:ind w:firstLine="720"/>
        <w:jc w:val="both"/>
        <w:rPr>
          <w:sz w:val="28"/>
          <w:szCs w:val="28"/>
        </w:rPr>
      </w:pPr>
      <w:r>
        <w:rPr>
          <w:sz w:val="28"/>
          <w:szCs w:val="28"/>
        </w:rPr>
        <w:t>- Số đơn, số vụ việc thuộc thẩm quyền: 0</w:t>
      </w:r>
    </w:p>
    <w:p>
      <w:pPr>
        <w:widowControl w:val="0"/>
        <w:spacing w:after="120"/>
        <w:ind w:firstLine="720"/>
        <w:jc w:val="both"/>
        <w:rPr>
          <w:sz w:val="28"/>
          <w:szCs w:val="28"/>
        </w:rPr>
      </w:pPr>
      <w:r>
        <w:rPr>
          <w:sz w:val="28"/>
          <w:szCs w:val="28"/>
        </w:rPr>
        <w:t>- Số đơn, số vụ việc không thuộc thẩm quyền: 00</w:t>
      </w:r>
    </w:p>
    <w:p>
      <w:pPr>
        <w:widowControl w:val="0"/>
        <w:spacing w:after="120"/>
        <w:ind w:firstLine="720"/>
        <w:jc w:val="both"/>
        <w:rPr>
          <w:sz w:val="28"/>
          <w:szCs w:val="28"/>
        </w:rPr>
      </w:pPr>
      <w:r>
        <w:rPr>
          <w:b/>
          <w:bCs/>
          <w:sz w:val="28"/>
          <w:szCs w:val="28"/>
        </w:rPr>
        <w:t>3. Kết quả giải quyết khiếu nại, tố cáo, kiến nghị, phản ánh thuộc thẩm quyền (Biểu số 01/KQGQ, 02/KQGQ, 03/KQGQ, 04/KQGQ)</w:t>
      </w:r>
    </w:p>
    <w:p>
      <w:pPr>
        <w:widowControl w:val="0"/>
        <w:spacing w:after="120"/>
        <w:ind w:firstLine="720"/>
        <w:jc w:val="both"/>
        <w:rPr>
          <w:sz w:val="28"/>
          <w:szCs w:val="28"/>
        </w:rPr>
      </w:pPr>
      <w:r>
        <w:rPr>
          <w:sz w:val="28"/>
          <w:szCs w:val="28"/>
        </w:rPr>
        <w:t>Tổng số đơn, số vụ việc (khiếu nại, tố cáo, kiến nghị, phản ánh) đã giải quyết 0/ 0 tổng số đơn, số vụ việc (khiếu nại, tố cáo, kiến nghị, phản ánh) phải giải quyết; tỷ lệ giải quyết 100%</w:t>
      </w:r>
    </w:p>
    <w:p>
      <w:pPr>
        <w:widowControl w:val="0"/>
        <w:spacing w:after="120"/>
        <w:ind w:firstLine="720"/>
        <w:jc w:val="both"/>
        <w:rPr>
          <w:sz w:val="28"/>
          <w:szCs w:val="28"/>
        </w:rPr>
      </w:pPr>
      <w:r>
        <w:rPr>
          <w:sz w:val="28"/>
          <w:szCs w:val="28"/>
        </w:rPr>
        <w:t>a) Kết quả giải quyết khiếu nại (Biểu số 01/KQGQ, 02/KQGQ): Không</w:t>
      </w:r>
    </w:p>
    <w:p>
      <w:pPr>
        <w:widowControl w:val="0"/>
        <w:spacing w:after="120"/>
        <w:ind w:firstLine="720"/>
        <w:jc w:val="both"/>
        <w:rPr>
          <w:sz w:val="28"/>
          <w:szCs w:val="28"/>
        </w:rPr>
      </w:pPr>
      <w:r>
        <w:rPr>
          <w:sz w:val="28"/>
          <w:szCs w:val="28"/>
        </w:rPr>
        <w:t>b) Kết quả giải quyết tố cáo (03/KQGQ, 04/KQGQ): Không</w:t>
      </w:r>
    </w:p>
    <w:p>
      <w:pPr>
        <w:widowControl w:val="0"/>
        <w:spacing w:after="120"/>
        <w:ind w:firstLine="720"/>
        <w:jc w:val="both"/>
        <w:rPr>
          <w:sz w:val="28"/>
          <w:szCs w:val="28"/>
        </w:rPr>
      </w:pPr>
      <w:r>
        <w:rPr>
          <w:sz w:val="28"/>
          <w:szCs w:val="28"/>
        </w:rPr>
        <w:t>c) Kết quả giải quyết kiến nghị, phản ánh (04/XLD)</w:t>
      </w:r>
    </w:p>
    <w:p>
      <w:pPr>
        <w:widowControl w:val="0"/>
        <w:spacing w:after="120"/>
        <w:ind w:firstLine="720"/>
        <w:jc w:val="both"/>
        <w:rPr>
          <w:sz w:val="28"/>
          <w:szCs w:val="28"/>
        </w:rPr>
      </w:pPr>
      <w:r>
        <w:rPr>
          <w:sz w:val="28"/>
          <w:szCs w:val="28"/>
        </w:rPr>
        <w:t>- Tổng số vụ việc đã giải quyết 0/0 tổng số vụ việc phải giải quyết; tỷ lệ giải quyết 100%</w:t>
      </w:r>
    </w:p>
    <w:p>
      <w:pPr>
        <w:widowControl w:val="0"/>
        <w:spacing w:after="120"/>
        <w:ind w:firstLine="720"/>
        <w:jc w:val="both"/>
        <w:rPr>
          <w:sz w:val="28"/>
          <w:szCs w:val="28"/>
        </w:rPr>
      </w:pPr>
      <w:r>
        <w:rPr>
          <w:b/>
          <w:bCs/>
          <w:sz w:val="28"/>
          <w:szCs w:val="28"/>
        </w:rPr>
        <w:t>4. Bảo vệ người tố cáo (nếu có): Không</w:t>
      </w:r>
    </w:p>
    <w:p>
      <w:pPr>
        <w:widowControl w:val="0"/>
        <w:spacing w:after="120"/>
        <w:ind w:firstLine="720"/>
        <w:jc w:val="both"/>
        <w:rPr>
          <w:sz w:val="28"/>
          <w:szCs w:val="28"/>
        </w:rPr>
      </w:pPr>
      <w:r>
        <w:rPr>
          <w:b/>
          <w:bCs/>
          <w:sz w:val="28"/>
          <w:szCs w:val="28"/>
        </w:rPr>
        <w:t xml:space="preserve">5. Công tác quản lý nhà nước về tiếp công dân, khiếu nại, tố cáo </w:t>
      </w:r>
      <w:r>
        <w:rPr>
          <w:b/>
          <w:bCs/>
          <w:sz w:val="28"/>
          <w:szCs w:val="28"/>
        </w:rPr>
        <w:lastRenderedPageBreak/>
        <w:t>(03/QLNN)</w:t>
      </w:r>
    </w:p>
    <w:p>
      <w:pPr>
        <w:widowControl w:val="0"/>
        <w:spacing w:after="120"/>
        <w:ind w:firstLine="720"/>
        <w:jc w:val="both"/>
        <w:rPr>
          <w:sz w:val="28"/>
          <w:szCs w:val="28"/>
        </w:rPr>
      </w:pPr>
      <w:r>
        <w:rPr>
          <w:sz w:val="28"/>
          <w:szCs w:val="28"/>
        </w:rPr>
        <w:t>a) Sự lãnh đạo, chỉ đạo, điều hành của cấp ủy, chính quyền về công tác tiếp công dân, xử lý đơn, giải quyết khiếu nại, tố cáo: Đúng quy định</w:t>
      </w:r>
    </w:p>
    <w:p>
      <w:pPr>
        <w:widowControl w:val="0"/>
        <w:spacing w:after="120"/>
        <w:ind w:firstLine="720"/>
        <w:jc w:val="both"/>
        <w:rPr>
          <w:sz w:val="28"/>
          <w:szCs w:val="28"/>
        </w:rPr>
      </w:pPr>
      <w:r>
        <w:rPr>
          <w:sz w:val="28"/>
          <w:szCs w:val="28"/>
        </w:rPr>
        <w:t>b) Kết quả xây dựng, hoàn thiện thể chế, ban hành văn bản chỉ đạo điều hành và tuyên truyền, phổ biến, giáo dục pháp luật: Đúng quy định</w:t>
      </w:r>
    </w:p>
    <w:p>
      <w:pPr>
        <w:widowControl w:val="0"/>
        <w:spacing w:after="120"/>
        <w:ind w:firstLine="720"/>
        <w:jc w:val="both"/>
        <w:rPr>
          <w:sz w:val="28"/>
          <w:szCs w:val="28"/>
        </w:rPr>
      </w:pPr>
      <w:r>
        <w:rPr>
          <w:sz w:val="28"/>
          <w:szCs w:val="28"/>
        </w:rPr>
        <w:t>- Số văn bản ban hành mới, sửa đổi bổ sung, hủy bỏ: Không</w:t>
      </w:r>
    </w:p>
    <w:p>
      <w:pPr>
        <w:widowControl w:val="0"/>
        <w:spacing w:after="120"/>
        <w:ind w:firstLine="720"/>
        <w:jc w:val="both"/>
        <w:rPr>
          <w:sz w:val="28"/>
          <w:szCs w:val="28"/>
        </w:rPr>
      </w:pPr>
      <w:r>
        <w:rPr>
          <w:sz w:val="28"/>
          <w:szCs w:val="28"/>
        </w:rPr>
        <w:t>- Tập huấn tuyên truyền, phổ biến, giáo dục pháp luật về tiếp công dân, khiếu nại, tố cáo (số lớp, số người): Không</w:t>
      </w:r>
    </w:p>
    <w:p>
      <w:pPr>
        <w:widowControl w:val="0"/>
        <w:spacing w:after="120"/>
        <w:ind w:firstLine="720"/>
        <w:jc w:val="both"/>
        <w:rPr>
          <w:sz w:val="28"/>
          <w:szCs w:val="28"/>
        </w:rPr>
      </w:pPr>
      <w:r>
        <w:rPr>
          <w:sz w:val="28"/>
          <w:szCs w:val="28"/>
        </w:rPr>
        <w:t>c) Thanh tra trách nhiệm (tổng số cuộc, tổng số đơn vị được thanh tra, số đơn vị có vi phạm), kiến nghị xử lý trách nhiệm (hành chính, chuyển cơ quan điều tra); đôn đốc, kiểm tra việc thực hiện kết luận thanh tra, quyết định xử lý: Tổng số kết luận thực hiện, kết quả thực hiện (số tổ chức, cá nhân đã xử lý hành chính, khởi tố): Không</w:t>
      </w:r>
    </w:p>
    <w:p>
      <w:pPr>
        <w:widowControl w:val="0"/>
        <w:spacing w:after="120"/>
        <w:ind w:firstLine="720"/>
        <w:jc w:val="both"/>
        <w:rPr>
          <w:sz w:val="28"/>
          <w:szCs w:val="28"/>
        </w:rPr>
      </w:pPr>
      <w:r>
        <w:rPr>
          <w:b/>
          <w:bCs/>
          <w:sz w:val="28"/>
          <w:szCs w:val="28"/>
        </w:rPr>
        <w:t>III. NHẬN XÉT, ĐÁNH GIÁ</w:t>
      </w:r>
    </w:p>
    <w:p>
      <w:pPr>
        <w:widowControl w:val="0"/>
        <w:spacing w:after="120"/>
        <w:ind w:firstLine="720"/>
        <w:jc w:val="both"/>
        <w:rPr>
          <w:sz w:val="28"/>
          <w:szCs w:val="28"/>
        </w:rPr>
      </w:pPr>
      <w:r>
        <w:rPr>
          <w:b/>
          <w:bCs/>
          <w:sz w:val="28"/>
          <w:szCs w:val="28"/>
        </w:rPr>
        <w:t>1. Ưu điểm, kết quả</w:t>
      </w:r>
    </w:p>
    <w:p>
      <w:pPr>
        <w:ind w:firstLine="720"/>
        <w:jc w:val="both"/>
        <w:rPr>
          <w:sz w:val="28"/>
          <w:szCs w:val="28"/>
        </w:rPr>
      </w:pPr>
      <w:r>
        <w:rPr>
          <w:sz w:val="28"/>
          <w:szCs w:val="28"/>
        </w:rPr>
        <w:t>- Cấp ủy đảng và chính quyền địa phương thường xuyên quan tâm chỉ đạo thực hiện tốt công tác tiếp công dân, giải quyết đơn, thư khiếu nại, tố cáo tại xã; thực hiện tốt nguyên tắc, trách nhiệm trong việc tiếp công dân định kỳ và tiếp công dân đột xuất khi cần thiết.</w:t>
      </w:r>
    </w:p>
    <w:p>
      <w:pPr>
        <w:ind w:firstLine="720"/>
        <w:jc w:val="both"/>
        <w:rPr>
          <w:sz w:val="28"/>
          <w:szCs w:val="28"/>
        </w:rPr>
      </w:pPr>
      <w:r>
        <w:rPr>
          <w:sz w:val="28"/>
          <w:szCs w:val="28"/>
        </w:rPr>
        <w:t>- Cán bộ, công chức được phân công làm nhiệm vụ tiếp công dân thực hiện đúng các quy định về tiếp công dân.</w:t>
      </w:r>
    </w:p>
    <w:p>
      <w:pPr>
        <w:ind w:firstLine="720"/>
        <w:jc w:val="both"/>
        <w:rPr>
          <w:sz w:val="28"/>
          <w:szCs w:val="28"/>
        </w:rPr>
      </w:pPr>
      <w:r>
        <w:rPr>
          <w:sz w:val="28"/>
          <w:szCs w:val="28"/>
        </w:rPr>
        <w:t>- Công tác phối hợp giữa UBND xã với các ban ngành, đoàn thể, các bộ</w:t>
      </w:r>
    </w:p>
    <w:p>
      <w:pPr>
        <w:jc w:val="both"/>
        <w:rPr>
          <w:sz w:val="28"/>
          <w:szCs w:val="28"/>
        </w:rPr>
      </w:pPr>
      <w:r>
        <w:rPr>
          <w:sz w:val="28"/>
          <w:szCs w:val="28"/>
        </w:rPr>
        <w:t>phận liên quan về việc tiếp công dân, giải quyết đơn thư khiếu nại, tố cáo đối với vụ việc có liên quan được thực hiện tích cực.</w:t>
      </w:r>
    </w:p>
    <w:p>
      <w:pPr>
        <w:widowControl w:val="0"/>
        <w:spacing w:after="120"/>
        <w:ind w:firstLine="720"/>
        <w:jc w:val="both"/>
        <w:rPr>
          <w:sz w:val="28"/>
          <w:szCs w:val="28"/>
        </w:rPr>
      </w:pPr>
      <w:r>
        <w:rPr>
          <w:b/>
          <w:bCs/>
          <w:sz w:val="28"/>
          <w:szCs w:val="28"/>
        </w:rPr>
        <w:t>2. Tồn tại, hạn chế</w:t>
      </w:r>
    </w:p>
    <w:p>
      <w:pPr>
        <w:autoSpaceDE w:val="0"/>
        <w:autoSpaceDN w:val="0"/>
        <w:adjustRightInd w:val="0"/>
        <w:ind w:firstLine="720"/>
        <w:jc w:val="both"/>
        <w:rPr>
          <w:sz w:val="28"/>
          <w:szCs w:val="28"/>
        </w:rPr>
      </w:pPr>
      <w:r>
        <w:rPr>
          <w:sz w:val="28"/>
          <w:szCs w:val="28"/>
        </w:rPr>
        <w:t>Bên cạnh những k</w:t>
      </w:r>
      <w:r>
        <w:rPr>
          <w:rFonts w:eastAsia="MingLiU"/>
          <w:sz w:val="28"/>
          <w:szCs w:val="28"/>
        </w:rPr>
        <w:t>ế</w:t>
      </w:r>
      <w:r>
        <w:rPr>
          <w:sz w:val="28"/>
          <w:szCs w:val="28"/>
        </w:rPr>
        <w:t>t quả đạt được, công tác ti</w:t>
      </w:r>
      <w:r>
        <w:rPr>
          <w:rFonts w:eastAsia="MingLiU"/>
          <w:sz w:val="28"/>
          <w:szCs w:val="28"/>
        </w:rPr>
        <w:t>ế</w:t>
      </w:r>
      <w:r>
        <w:rPr>
          <w:sz w:val="28"/>
          <w:szCs w:val="28"/>
        </w:rPr>
        <w:t>p công dân; giải quy</w:t>
      </w:r>
      <w:r>
        <w:rPr>
          <w:rFonts w:eastAsia="MingLiU"/>
          <w:sz w:val="28"/>
          <w:szCs w:val="28"/>
        </w:rPr>
        <w:t>ế</w:t>
      </w:r>
      <w:r>
        <w:rPr>
          <w:sz w:val="28"/>
          <w:szCs w:val="28"/>
        </w:rPr>
        <w:t>t khi</w:t>
      </w:r>
      <w:r>
        <w:rPr>
          <w:rFonts w:eastAsia="MingLiU"/>
          <w:sz w:val="28"/>
          <w:szCs w:val="28"/>
        </w:rPr>
        <w:t>ế</w:t>
      </w:r>
      <w:r>
        <w:rPr>
          <w:sz w:val="28"/>
          <w:szCs w:val="28"/>
        </w:rPr>
        <w:t>u nại, tố cáo của công dân vẫn còn một số tồn tại và hạn ch</w:t>
      </w:r>
      <w:r>
        <w:rPr>
          <w:rFonts w:eastAsia="MingLiU"/>
          <w:sz w:val="28"/>
          <w:szCs w:val="28"/>
        </w:rPr>
        <w:t>ế</w:t>
      </w:r>
      <w:r>
        <w:rPr>
          <w:sz w:val="28"/>
          <w:szCs w:val="28"/>
        </w:rPr>
        <w:t xml:space="preserve"> y</w:t>
      </w:r>
      <w:r>
        <w:rPr>
          <w:rFonts w:eastAsia="MingLiU"/>
          <w:sz w:val="28"/>
          <w:szCs w:val="28"/>
        </w:rPr>
        <w:t>ế</w:t>
      </w:r>
      <w:r>
        <w:rPr>
          <w:sz w:val="28"/>
          <w:szCs w:val="28"/>
        </w:rPr>
        <w:t>u kém, đó là:</w:t>
      </w:r>
    </w:p>
    <w:p>
      <w:pPr>
        <w:autoSpaceDE w:val="0"/>
        <w:autoSpaceDN w:val="0"/>
        <w:adjustRightInd w:val="0"/>
        <w:ind w:firstLine="720"/>
        <w:jc w:val="both"/>
        <w:rPr>
          <w:sz w:val="28"/>
          <w:szCs w:val="28"/>
        </w:rPr>
      </w:pPr>
      <w:r>
        <w:rPr>
          <w:sz w:val="28"/>
          <w:szCs w:val="28"/>
        </w:rPr>
        <w:t>Công tác tuyên truy</w:t>
      </w:r>
      <w:r>
        <w:rPr>
          <w:rFonts w:eastAsia="MingLiU"/>
          <w:sz w:val="28"/>
          <w:szCs w:val="28"/>
        </w:rPr>
        <w:t>ề</w:t>
      </w:r>
      <w:r>
        <w:rPr>
          <w:sz w:val="28"/>
          <w:szCs w:val="28"/>
        </w:rPr>
        <w:t>n pháp luật v</w:t>
      </w:r>
      <w:r>
        <w:rPr>
          <w:rFonts w:eastAsia="MingLiU"/>
          <w:sz w:val="28"/>
          <w:szCs w:val="28"/>
        </w:rPr>
        <w:t>ề</w:t>
      </w:r>
      <w:r>
        <w:rPr>
          <w:sz w:val="28"/>
          <w:szCs w:val="28"/>
        </w:rPr>
        <w:t xml:space="preserve"> khi</w:t>
      </w:r>
      <w:r>
        <w:rPr>
          <w:rFonts w:eastAsia="MingLiU"/>
          <w:sz w:val="28"/>
          <w:szCs w:val="28"/>
        </w:rPr>
        <w:t>ế</w:t>
      </w:r>
      <w:r>
        <w:rPr>
          <w:sz w:val="28"/>
          <w:szCs w:val="28"/>
        </w:rPr>
        <w:t>u nại, tố cáo còn nhiều hạn chế, nội dung chưa phong phú nên chưa thật sự thu hút, hấp dẫn người tham gia.</w:t>
      </w:r>
    </w:p>
    <w:p>
      <w:pPr>
        <w:widowControl w:val="0"/>
        <w:spacing w:after="120"/>
        <w:ind w:firstLine="720"/>
        <w:jc w:val="both"/>
        <w:rPr>
          <w:sz w:val="28"/>
          <w:szCs w:val="28"/>
        </w:rPr>
      </w:pPr>
      <w:r>
        <w:rPr>
          <w:b/>
          <w:bCs/>
          <w:sz w:val="28"/>
          <w:szCs w:val="28"/>
        </w:rPr>
        <w:t>3. Nguyên nhân</w:t>
      </w:r>
    </w:p>
    <w:p>
      <w:pPr>
        <w:widowControl w:val="0"/>
        <w:spacing w:after="120"/>
        <w:ind w:firstLine="720"/>
        <w:jc w:val="both"/>
        <w:rPr>
          <w:sz w:val="28"/>
          <w:szCs w:val="28"/>
        </w:rPr>
      </w:pPr>
      <w:r>
        <w:rPr>
          <w:sz w:val="28"/>
          <w:szCs w:val="28"/>
        </w:rPr>
        <w:t xml:space="preserve">* </w:t>
      </w:r>
      <w:r>
        <w:rPr>
          <w:b/>
          <w:sz w:val="28"/>
          <w:szCs w:val="28"/>
        </w:rPr>
        <w:t>Nguyên nhân đạt được</w:t>
      </w:r>
      <w:r>
        <w:rPr>
          <w:sz w:val="28"/>
          <w:szCs w:val="28"/>
        </w:rPr>
        <w:t>: Sự đoàn kết thống nhất cao tinh thần làm việc trách nhiệm, tận tụy của đội ngũ cán bộ, công chức. Chấp hành tốt quy chế tiếp công dân và các quy định khác của pháp luật về công tác tiếp dân giải quyết đơn thư của cán bộ tiếp dân.</w:t>
      </w:r>
    </w:p>
    <w:p>
      <w:pPr>
        <w:widowControl w:val="0"/>
        <w:spacing w:after="120"/>
        <w:ind w:firstLine="720"/>
        <w:jc w:val="both"/>
        <w:rPr>
          <w:sz w:val="28"/>
          <w:szCs w:val="28"/>
        </w:rPr>
      </w:pPr>
      <w:r>
        <w:rPr>
          <w:b/>
          <w:bCs/>
          <w:sz w:val="28"/>
          <w:szCs w:val="28"/>
        </w:rPr>
        <w:t>IV. DỰ BÁO TÌNH HÌNH</w:t>
      </w:r>
    </w:p>
    <w:p>
      <w:pPr>
        <w:widowControl w:val="0"/>
        <w:spacing w:after="120"/>
        <w:ind w:firstLine="720"/>
        <w:jc w:val="both"/>
        <w:rPr>
          <w:sz w:val="28"/>
          <w:szCs w:val="28"/>
        </w:rPr>
      </w:pPr>
      <w:r>
        <w:rPr>
          <w:sz w:val="28"/>
          <w:szCs w:val="28"/>
        </w:rPr>
        <w:t>Là đơn vị tiếp tục thực hiện công tác tích tụ ruộng đất dự báo trong thời gian tới có thể sẽ tăng những ý kiến kiến nghị phản ánh của nhân dân.</w:t>
      </w:r>
    </w:p>
    <w:p>
      <w:pPr>
        <w:widowControl w:val="0"/>
        <w:spacing w:after="120"/>
        <w:ind w:firstLine="720"/>
        <w:jc w:val="both"/>
        <w:rPr>
          <w:sz w:val="28"/>
          <w:szCs w:val="28"/>
        </w:rPr>
      </w:pPr>
      <w:r>
        <w:rPr>
          <w:b/>
          <w:bCs/>
          <w:sz w:val="28"/>
          <w:szCs w:val="28"/>
        </w:rPr>
        <w:t>V. PHƯƠNG HƯỚNG, NHIỆM VỤ, GIẢI PHÁP CHỦ YẾU TRONG KỲ TIẾP THEO</w:t>
      </w:r>
    </w:p>
    <w:p>
      <w:pPr>
        <w:widowControl w:val="0"/>
        <w:spacing w:after="120"/>
        <w:ind w:firstLine="720"/>
        <w:jc w:val="both"/>
        <w:rPr>
          <w:sz w:val="28"/>
          <w:szCs w:val="28"/>
        </w:rPr>
      </w:pPr>
      <w:r>
        <w:rPr>
          <w:sz w:val="28"/>
          <w:szCs w:val="28"/>
        </w:rPr>
        <w:t xml:space="preserve">Tập trung thực hiện công tác tuyên truyền vận động người dân chấp hành </w:t>
      </w:r>
      <w:r>
        <w:rPr>
          <w:sz w:val="28"/>
          <w:szCs w:val="28"/>
        </w:rPr>
        <w:lastRenderedPageBreak/>
        <w:t xml:space="preserve">tốt chủ trương, chính sách của Đảng, pháp luật của Nhà nước  cũng như các quy định của địa phương đề ra. </w:t>
      </w:r>
    </w:p>
    <w:p>
      <w:pPr>
        <w:widowControl w:val="0"/>
        <w:spacing w:after="120"/>
        <w:ind w:firstLine="720"/>
        <w:jc w:val="both"/>
        <w:rPr>
          <w:sz w:val="28"/>
          <w:szCs w:val="28"/>
        </w:rPr>
      </w:pPr>
      <w:r>
        <w:rPr>
          <w:sz w:val="28"/>
          <w:szCs w:val="28"/>
        </w:rPr>
        <w:t>Thực hiện tốt công tác tiếp dân theo quy định của luật tiếp công dân.</w:t>
      </w:r>
    </w:p>
    <w:p>
      <w:pPr>
        <w:widowControl w:val="0"/>
        <w:spacing w:after="120"/>
        <w:ind w:firstLine="720"/>
        <w:jc w:val="both"/>
        <w:rPr>
          <w:sz w:val="28"/>
          <w:szCs w:val="28"/>
        </w:rPr>
      </w:pPr>
      <w:r>
        <w:rPr>
          <w:b/>
          <w:bCs/>
          <w:sz w:val="28"/>
          <w:szCs w:val="28"/>
        </w:rPr>
        <w:t>VI. KIẾN NGHỊ, ĐỀ XUẤT</w:t>
      </w:r>
    </w:p>
    <w:p>
      <w:pPr>
        <w:widowControl w:val="0"/>
        <w:spacing w:after="120"/>
        <w:ind w:firstLine="720"/>
        <w:jc w:val="both"/>
        <w:rPr>
          <w:sz w:val="28"/>
          <w:szCs w:val="28"/>
        </w:rPr>
      </w:pPr>
      <w:r>
        <w:rPr>
          <w:sz w:val="28"/>
          <w:szCs w:val="28"/>
        </w:rPr>
        <w:t>- Kiến nghị cơ quan có thẩm quyền nghiên cứu bổ sung, điều chỉnh chính sách, pháp luật là nguyên nhân phát sinh khiếu nại, tố cáo và hoàn thiện pháp luật về tiếp công dân, khiếu nại, tố cáo: Không</w:t>
      </w:r>
    </w:p>
    <w:p>
      <w:pPr>
        <w:widowControl w:val="0"/>
        <w:spacing w:after="120"/>
        <w:ind w:firstLine="720"/>
        <w:jc w:val="both"/>
        <w:rPr>
          <w:sz w:val="28"/>
          <w:szCs w:val="28"/>
        </w:rPr>
      </w:pPr>
      <w:r>
        <w:rPr>
          <w:sz w:val="28"/>
          <w:szCs w:val="28"/>
        </w:rPr>
        <w:t>- Kiến nghị cơ quan có thẩm quyền hướng dẫn thực hiện các quy định của pháp luật về công tác tiếp công dân, xử lý đơn và giải quyết khiếu nại, tố cáo: Không</w:t>
      </w:r>
    </w:p>
    <w:p>
      <w:pPr>
        <w:widowControl w:val="0"/>
        <w:spacing w:after="120"/>
        <w:ind w:firstLine="720"/>
        <w:jc w:val="both"/>
        <w:rPr>
          <w:sz w:val="28"/>
          <w:szCs w:val="28"/>
        </w:rPr>
      </w:pPr>
      <w:r>
        <w:rPr>
          <w:sz w:val="28"/>
          <w:szCs w:val="28"/>
        </w:rPr>
        <w:t xml:space="preserve">- Đề xuất các giải pháp nâng cao hiệu quả công tác tiếp công dân, xử lý đơn và giải quyết khiếu nại, tố cáo: Không. </w:t>
      </w:r>
    </w:p>
    <w:p>
      <w:pPr>
        <w:widowControl w:val="0"/>
        <w:spacing w:after="120"/>
        <w:ind w:firstLine="720"/>
        <w:jc w:val="both"/>
        <w:rPr>
          <w:sz w:val="28"/>
          <w:szCs w:val="28"/>
        </w:rPr>
      </w:pPr>
      <w:r>
        <w:rPr>
          <w:sz w:val="28"/>
          <w:szCs w:val="28"/>
        </w:rPr>
        <w:t xml:space="preserve">- Các nội dung kiến nghị, đề xuất khác: Không. </w:t>
      </w:r>
    </w:p>
    <w:p>
      <w:pPr>
        <w:widowControl w:val="0"/>
        <w:spacing w:after="120"/>
        <w:ind w:firstLine="720"/>
        <w:jc w:val="both"/>
        <w:rPr>
          <w:sz w:val="28"/>
          <w:szCs w:val="28"/>
        </w:rPr>
      </w:pPr>
    </w:p>
    <w:tbl>
      <w:tblPr>
        <w:tblW w:w="9072" w:type="dxa"/>
        <w:tblInd w:w="108" w:type="dxa"/>
        <w:tblLook w:val="04A0" w:firstRow="1" w:lastRow="0" w:firstColumn="1" w:lastColumn="0" w:noHBand="0" w:noVBand="1"/>
      </w:tblPr>
      <w:tblGrid>
        <w:gridCol w:w="4934"/>
        <w:gridCol w:w="4138"/>
      </w:tblGrid>
      <w:tr>
        <w:tc>
          <w:tcPr>
            <w:tcW w:w="4934" w:type="dxa"/>
          </w:tcPr>
          <w:p>
            <w:pPr>
              <w:jc w:val="both"/>
              <w:rPr>
                <w:rFonts w:eastAsia="Calibri"/>
                <w:b/>
                <w:bCs/>
                <w:i/>
                <w:iCs/>
              </w:rPr>
            </w:pPr>
            <w:r>
              <w:rPr>
                <w:b/>
                <w:bCs/>
                <w:i/>
                <w:iCs/>
              </w:rPr>
              <w:t>Nơi nhận:</w:t>
            </w:r>
          </w:p>
          <w:p>
            <w:pPr>
              <w:jc w:val="both"/>
            </w:pPr>
            <w:r>
              <w:t>- Như trên;</w:t>
            </w:r>
          </w:p>
          <w:p>
            <w:pPr>
              <w:jc w:val="both"/>
              <w:rPr>
                <w:rFonts w:eastAsia="Calibri"/>
                <w:b/>
                <w:bCs/>
                <w:i/>
                <w:iCs/>
              </w:rPr>
            </w:pPr>
            <w:r>
              <w:t>- Lưu: VT.</w:t>
            </w:r>
          </w:p>
        </w:tc>
        <w:tc>
          <w:tcPr>
            <w:tcW w:w="4138" w:type="dxa"/>
          </w:tcPr>
          <w:p>
            <w:pPr>
              <w:jc w:val="center"/>
              <w:rPr>
                <w:b/>
                <w:bCs/>
                <w:sz w:val="28"/>
                <w:szCs w:val="28"/>
              </w:rPr>
            </w:pPr>
            <w:r>
              <w:rPr>
                <w:b/>
                <w:bCs/>
                <w:sz w:val="28"/>
                <w:szCs w:val="28"/>
              </w:rPr>
              <w:t>TM. ỦY BAN NHÂN DÂN</w:t>
            </w:r>
          </w:p>
          <w:p>
            <w:pPr>
              <w:jc w:val="center"/>
              <w:rPr>
                <w:rFonts w:eastAsia="Calibri"/>
                <w:b/>
                <w:bCs/>
                <w:sz w:val="28"/>
                <w:szCs w:val="28"/>
              </w:rPr>
            </w:pPr>
            <w:r>
              <w:rPr>
                <w:b/>
                <w:bCs/>
                <w:sz w:val="28"/>
                <w:szCs w:val="28"/>
              </w:rPr>
              <w:t>CHỦ TỊCH</w:t>
            </w:r>
          </w:p>
        </w:tc>
      </w:tr>
      <w:tr>
        <w:tc>
          <w:tcPr>
            <w:tcW w:w="4934" w:type="dxa"/>
          </w:tcPr>
          <w:p>
            <w:pPr>
              <w:jc w:val="both"/>
              <w:rPr>
                <w:rFonts w:eastAsia="Calibri"/>
              </w:rPr>
            </w:pPr>
          </w:p>
        </w:tc>
        <w:tc>
          <w:tcPr>
            <w:tcW w:w="4138" w:type="dxa"/>
          </w:tcPr>
          <w:p>
            <w:pPr>
              <w:jc w:val="center"/>
              <w:rPr>
                <w:rFonts w:eastAsia="Calibri"/>
                <w:b/>
                <w:bCs/>
                <w:sz w:val="28"/>
                <w:szCs w:val="28"/>
              </w:rPr>
            </w:pPr>
          </w:p>
          <w:p>
            <w:pPr>
              <w:jc w:val="center"/>
              <w:rPr>
                <w:rFonts w:eastAsia="Calibri"/>
                <w:b/>
                <w:bCs/>
                <w:sz w:val="28"/>
                <w:szCs w:val="28"/>
              </w:rPr>
            </w:pPr>
          </w:p>
          <w:p>
            <w:pPr>
              <w:jc w:val="center"/>
              <w:rPr>
                <w:rFonts w:eastAsia="Calibri"/>
                <w:b/>
                <w:bCs/>
                <w:sz w:val="28"/>
                <w:szCs w:val="28"/>
              </w:rPr>
            </w:pPr>
          </w:p>
          <w:p>
            <w:pPr>
              <w:jc w:val="center"/>
              <w:rPr>
                <w:rFonts w:eastAsia="Calibri"/>
                <w:b/>
                <w:bCs/>
                <w:sz w:val="28"/>
                <w:szCs w:val="28"/>
              </w:rPr>
            </w:pPr>
          </w:p>
        </w:tc>
      </w:tr>
      <w:tr>
        <w:tc>
          <w:tcPr>
            <w:tcW w:w="4934" w:type="dxa"/>
          </w:tcPr>
          <w:p>
            <w:pPr>
              <w:jc w:val="both"/>
              <w:rPr>
                <w:rFonts w:eastAsia="Calibri"/>
                <w:sz w:val="28"/>
                <w:szCs w:val="28"/>
              </w:rPr>
            </w:pPr>
          </w:p>
        </w:tc>
        <w:tc>
          <w:tcPr>
            <w:tcW w:w="4138" w:type="dxa"/>
          </w:tcPr>
          <w:p>
            <w:pPr>
              <w:ind w:firstLineChars="400" w:firstLine="1124"/>
              <w:jc w:val="both"/>
              <w:rPr>
                <w:rFonts w:eastAsia="Calibri"/>
                <w:b/>
                <w:bCs/>
                <w:sz w:val="28"/>
                <w:szCs w:val="28"/>
              </w:rPr>
            </w:pPr>
            <w:r>
              <w:rPr>
                <w:b/>
                <w:bCs/>
                <w:sz w:val="28"/>
                <w:szCs w:val="28"/>
              </w:rPr>
              <w:t>Lê Trường Sơn</w:t>
            </w:r>
          </w:p>
        </w:tc>
      </w:tr>
    </w:tbl>
    <w:p>
      <w:pPr>
        <w:widowControl w:val="0"/>
        <w:spacing w:after="120"/>
        <w:ind w:firstLine="720"/>
        <w:jc w:val="both"/>
        <w:rPr>
          <w:sz w:val="28"/>
          <w:szCs w:val="28"/>
        </w:rPr>
      </w:pPr>
    </w:p>
    <w:p>
      <w:pPr>
        <w:widowControl w:val="0"/>
        <w:rPr>
          <w:sz w:val="28"/>
          <w:szCs w:val="28"/>
        </w:rPr>
      </w:pPr>
    </w:p>
    <w:sectPr>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36E6D-D1DA-4D70-BBB0-CCE43371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0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15</cp:revision>
  <dcterms:created xsi:type="dcterms:W3CDTF">2024-03-05T03:11:00Z</dcterms:created>
  <dcterms:modified xsi:type="dcterms:W3CDTF">2024-05-13T09:13:00Z</dcterms:modified>
</cp:coreProperties>
</file>