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4"/>
        <w:gridCol w:w="5882"/>
      </w:tblGrid>
      <w:tr>
        <w:trPr>
          <w:trHeight w:val="911"/>
        </w:trPr>
        <w:tc>
          <w:tcPr>
            <w:tcW w:w="3724" w:type="dxa"/>
          </w:tcPr>
          <w:p>
            <w:pPr>
              <w:jc w:val="center"/>
              <w:rPr>
                <w:b/>
                <w:sz w:val="26"/>
                <w:szCs w:val="26"/>
                <w:highlight w:val="white"/>
              </w:rPr>
            </w:pPr>
            <w:r>
              <w:rPr>
                <w:b/>
                <w:sz w:val="26"/>
                <w:szCs w:val="26"/>
                <w:highlight w:val="white"/>
              </w:rPr>
              <w:t>ỦY BAN NHÂN DÂN</w:t>
            </w:r>
          </w:p>
          <w:p>
            <w:pPr>
              <w:jc w:val="center"/>
              <w:rPr>
                <w:b/>
                <w:sz w:val="26"/>
                <w:szCs w:val="26"/>
              </w:rPr>
            </w:pPr>
            <w:r>
              <w:rPr>
                <w:b/>
                <w:sz w:val="26"/>
                <w:szCs w:val="26"/>
                <w:highlight w:val="white"/>
              </w:rPr>
              <w:t>HUY</w:t>
            </w:r>
            <w:r>
              <w:rPr>
                <w:b/>
                <w:sz w:val="26"/>
                <w:szCs w:val="26"/>
              </w:rPr>
              <w:t>ỆN HƯƠNG SƠN</w:t>
            </w:r>
          </w:p>
          <w:p>
            <w:pPr>
              <w:jc w:val="center"/>
              <w:rPr>
                <w:b/>
                <w:sz w:val="26"/>
                <w:szCs w:val="26"/>
                <w:highlight w:val="white"/>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658495</wp:posOffset>
                      </wp:positionH>
                      <wp:positionV relativeFrom="paragraph">
                        <wp:posOffset>23495</wp:posOffset>
                      </wp:positionV>
                      <wp:extent cx="914400" cy="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85pt" to="123.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"/>
                  </w:pict>
                </mc:Fallback>
              </mc:AlternateContent>
            </w:r>
          </w:p>
        </w:tc>
        <w:tc>
          <w:tcPr>
            <w:tcW w:w="5882" w:type="dxa"/>
          </w:tcPr>
          <w:p>
            <w:pPr>
              <w:jc w:val="center"/>
              <w:rPr>
                <w:b/>
                <w:sz w:val="26"/>
                <w:szCs w:val="26"/>
                <w:highlight w:val="white"/>
              </w:rPr>
            </w:pPr>
            <w:r>
              <w:rPr>
                <w:b/>
                <w:sz w:val="26"/>
                <w:szCs w:val="26"/>
                <w:highlight w:val="white"/>
              </w:rPr>
              <w:t>CỘNG HÒA XÃ HỘI CHỦ NGHĨA VIỆT NAM</w:t>
            </w:r>
          </w:p>
          <w:p>
            <w:pPr>
              <w:jc w:val="center"/>
              <w:rPr>
                <w:b/>
                <w:szCs w:val="28"/>
                <w:highlight w:val="white"/>
              </w:rPr>
            </w:pPr>
            <w:r>
              <w:rPr>
                <w:b/>
                <w:szCs w:val="28"/>
                <w:highlight w:val="white"/>
              </w:rPr>
              <w:t>Độc lập - Tự do - Hạnh phúc</w:t>
            </w:r>
          </w:p>
          <w:p>
            <w:pPr>
              <w:jc w:val="center"/>
              <w:rPr>
                <w:b/>
                <w:szCs w:val="28"/>
                <w:highlight w:val="white"/>
              </w:rPr>
            </w:pPr>
            <w:r>
              <w:rPr>
                <w:b/>
                <w:noProof/>
                <w:szCs w:val="28"/>
                <w:highlight w:val="white"/>
              </w:rPr>
              <mc:AlternateContent>
                <mc:Choice Requires="wps">
                  <w:drawing>
                    <wp:anchor distT="0" distB="0" distL="114300" distR="114300" simplePos="0" relativeHeight="251656192" behindDoc="0" locked="0" layoutInCell="1" allowOverlap="1">
                      <wp:simplePos x="0" y="0"/>
                      <wp:positionH relativeFrom="column">
                        <wp:posOffset>720090</wp:posOffset>
                      </wp:positionH>
                      <wp:positionV relativeFrom="paragraph">
                        <wp:posOffset>22225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7pt,1.75pt" to="22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" strokecolor="black [3200]" strokeweight=".5pt">
                      <v:stroke joinstyle="miter"/>
                    </v:line>
                  </w:pict>
                </mc:Fallback>
              </mc:AlternateContent>
            </w:r>
          </w:p>
        </w:tc>
      </w:tr>
      <w:tr>
        <w:trPr>
          <w:trHeight w:val="992"/>
        </w:trPr>
        <w:tc>
          <w:tcPr>
            <w:tcW w:w="3724" w:type="dxa"/>
          </w:tcPr>
          <w:p>
            <w:pPr>
              <w:spacing w:before="120"/>
              <w:jc w:val="center"/>
              <w:rPr>
                <w:szCs w:val="28"/>
                <w:highlight w:val="white"/>
                <w:vertAlign w:val="subscript"/>
                <w:lang w:val="vi-VN"/>
              </w:rPr>
            </w:pPr>
            <w:r>
              <w:rPr>
                <w:szCs w:val="28"/>
                <w:highlight w:val="white"/>
              </w:rPr>
              <w:t xml:space="preserve">Số: </w:t>
            </w:r>
            <w:r>
              <w:rPr>
                <w:szCs w:val="28"/>
                <w:highlight w:val="white"/>
                <w:lang w:val="vi-VN"/>
              </w:rPr>
              <w:t xml:space="preserve">   </w:t>
            </w:r>
            <w:r>
              <w:rPr>
                <w:szCs w:val="28"/>
                <w:highlight w:val="white"/>
              </w:rPr>
              <w:t xml:space="preserve">  </w:t>
            </w:r>
            <w:r>
              <w:rPr>
                <w:szCs w:val="28"/>
                <w:highlight w:val="white"/>
                <w:lang w:val="vi-VN"/>
              </w:rPr>
              <w:t xml:space="preserve"> </w:t>
            </w:r>
            <w:r>
              <w:rPr>
                <w:szCs w:val="28"/>
                <w:highlight w:val="white"/>
              </w:rPr>
              <w:t>/UBND-VHTT</w:t>
            </w:r>
          </w:p>
          <w:p>
            <w:pPr>
              <w:ind w:right="198"/>
              <w:jc w:val="center"/>
              <w:rPr>
                <w:rFonts w:cs="Times New Roman"/>
                <w:color w:val="000000" w:themeColor="text1"/>
                <w:sz w:val="24"/>
                <w:szCs w:val="24"/>
                <w:lang w:val="vi-VN"/>
              </w:rPr>
            </w:pPr>
            <w:r>
              <w:rPr>
                <w:sz w:val="24"/>
                <w:szCs w:val="24"/>
                <w:highlight w:val="white"/>
              </w:rPr>
              <w:t xml:space="preserve">V/v </w:t>
            </w:r>
            <w:r>
              <w:rPr>
                <w:rFonts w:cs="Times New Roman"/>
                <w:color w:val="000000" w:themeColor="text1"/>
                <w:sz w:val="24"/>
                <w:szCs w:val="24"/>
              </w:rPr>
              <w:t>bảo đảm thực hiện nếp sống văn minh trong các hoạt động lễ hội sau Tết Nguyên đán Ất Tỵ và Lễ hội xuân 2025</w:t>
            </w:r>
          </w:p>
        </w:tc>
        <w:tc>
          <w:tcPr>
            <w:tcW w:w="5882" w:type="dxa"/>
          </w:tcPr>
          <w:p>
            <w:pPr>
              <w:spacing w:before="120"/>
              <w:jc w:val="center"/>
              <w:rPr>
                <w:i/>
                <w:highlight w:val="white"/>
                <w:lang w:val="vi-VN"/>
              </w:rPr>
            </w:pPr>
            <w:r>
              <w:rPr>
                <w:i/>
                <w:highlight w:val="white"/>
              </w:rPr>
              <w:t xml:space="preserve">          H</w:t>
            </w:r>
            <w:r>
              <w:rPr>
                <w:i/>
              </w:rPr>
              <w:t>ương Sơn</w:t>
            </w:r>
            <w:r>
              <w:rPr>
                <w:i/>
                <w:highlight w:val="white"/>
              </w:rPr>
              <w:t xml:space="preserve">, ngày </w:t>
            </w:r>
            <w:r>
              <w:rPr>
                <w:i/>
                <w:highlight w:val="white"/>
                <w:lang w:val="vi-VN"/>
              </w:rPr>
              <w:t xml:space="preserve">  </w:t>
            </w:r>
            <w:r>
              <w:rPr>
                <w:i/>
                <w:highlight w:val="white"/>
              </w:rPr>
              <w:t xml:space="preserve">     tháng 02</w:t>
            </w:r>
            <w:r>
              <w:rPr>
                <w:i/>
                <w:highlight w:val="white"/>
                <w:lang w:val="vi-VN"/>
              </w:rPr>
              <w:t xml:space="preserve"> </w:t>
            </w:r>
            <w:r>
              <w:rPr>
                <w:i/>
                <w:highlight w:val="white"/>
              </w:rPr>
              <w:t>năm 2025</w:t>
            </w:r>
          </w:p>
        </w:tc>
      </w:tr>
    </w:tbl>
    <w:p>
      <w:pPr>
        <w:tabs>
          <w:tab w:val="left" w:pos="1308"/>
        </w:tabs>
        <w:rPr>
          <w:sz w:val="10"/>
          <w:szCs w:val="10"/>
          <w:highlight w:val="white"/>
          <w:lang w:val="vi-VN"/>
        </w:rPr>
      </w:pPr>
    </w:p>
    <w:tbl>
      <w:tblPr>
        <w:tblStyle w:val="TableGrid"/>
        <w:tblW w:w="7371"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954"/>
      </w:tblGrid>
      <w:tr>
        <w:tc>
          <w:tcPr>
            <w:tcW w:w="1417" w:type="dxa"/>
          </w:tcPr>
          <w:p>
            <w:pPr>
              <w:tabs>
                <w:tab w:val="left" w:pos="1308"/>
              </w:tabs>
              <w:rPr>
                <w:szCs w:val="28"/>
                <w:highlight w:val="white"/>
              </w:rPr>
            </w:pPr>
            <w:r>
              <w:rPr>
                <w:szCs w:val="28"/>
                <w:highlight w:val="white"/>
                <w:lang w:val="vi-VN"/>
              </w:rPr>
              <w:t>Kính gửi</w:t>
            </w:r>
            <w:r>
              <w:rPr>
                <w:szCs w:val="28"/>
                <w:highlight w:val="white"/>
              </w:rPr>
              <w:t>:</w:t>
            </w:r>
          </w:p>
        </w:tc>
        <w:tc>
          <w:tcPr>
            <w:tcW w:w="5954" w:type="dxa"/>
          </w:tcPr>
          <w:p>
            <w:pPr>
              <w:tabs>
                <w:tab w:val="left" w:pos="1308"/>
              </w:tabs>
              <w:rPr>
                <w:szCs w:val="28"/>
                <w:highlight w:val="white"/>
                <w:lang w:val="vi-VN"/>
              </w:rPr>
            </w:pPr>
          </w:p>
        </w:tc>
      </w:tr>
      <w:tr>
        <w:tc>
          <w:tcPr>
            <w:tcW w:w="1417" w:type="dxa"/>
          </w:tcPr>
          <w:p>
            <w:pPr>
              <w:tabs>
                <w:tab w:val="left" w:pos="1308"/>
              </w:tabs>
              <w:rPr>
                <w:szCs w:val="28"/>
                <w:highlight w:val="white"/>
                <w:lang w:val="vi-VN"/>
              </w:rPr>
            </w:pPr>
          </w:p>
        </w:tc>
        <w:tc>
          <w:tcPr>
            <w:tcW w:w="5954" w:type="dxa"/>
          </w:tcPr>
          <w:p>
            <w:pPr>
              <w:pStyle w:val="Heading5"/>
              <w:ind w:right="32"/>
              <w:jc w:val="left"/>
              <w:outlineLvl w:val="4"/>
              <w:rPr>
                <w:rFonts w:ascii="Times New Roman" w:hAnsi="Times New Roman"/>
                <w:b w:val="0"/>
                <w:color w:val="000000" w:themeColor="text1"/>
                <w:szCs w:val="28"/>
              </w:rPr>
            </w:pPr>
            <w:r>
              <w:rPr>
                <w:rFonts w:ascii="Times New Roman" w:hAnsi="Times New Roman"/>
                <w:b w:val="0"/>
                <w:color w:val="000000" w:themeColor="text1"/>
                <w:szCs w:val="28"/>
              </w:rPr>
              <w:t>- Các ph</w:t>
            </w:r>
            <w:r>
              <w:rPr>
                <w:rFonts w:ascii="Times New Roman" w:hAnsi="Times New Roman"/>
                <w:b w:val="0"/>
                <w:color w:val="000000" w:themeColor="text1"/>
                <w:szCs w:val="28"/>
                <w:lang w:val="vi-VN"/>
              </w:rPr>
              <w:t xml:space="preserve">òng, ngành, đơn vị </w:t>
            </w:r>
            <w:r>
              <w:rPr>
                <w:rFonts w:ascii="Times New Roman" w:hAnsi="Times New Roman"/>
                <w:b w:val="0"/>
                <w:color w:val="000000" w:themeColor="text1"/>
                <w:szCs w:val="28"/>
              </w:rPr>
              <w:t>cấp huy</w:t>
            </w:r>
            <w:r>
              <w:rPr>
                <w:rFonts w:ascii="Times New Roman" w:hAnsi="Times New Roman"/>
                <w:b w:val="0"/>
                <w:color w:val="000000" w:themeColor="text1"/>
                <w:szCs w:val="28"/>
                <w:lang w:val="vi-VN"/>
              </w:rPr>
              <w:t>ện</w:t>
            </w:r>
            <w:r>
              <w:rPr>
                <w:rFonts w:ascii="Times New Roman" w:hAnsi="Times New Roman"/>
                <w:b w:val="0"/>
                <w:color w:val="000000" w:themeColor="text1"/>
                <w:szCs w:val="28"/>
              </w:rPr>
              <w:t>;</w:t>
            </w:r>
          </w:p>
          <w:p>
            <w:r>
              <w:t>- Các cơ quan, đơn vị đóng trên địa bàn;</w:t>
            </w:r>
          </w:p>
          <w:p>
            <w:r>
              <w:rPr>
                <w:color w:val="000000" w:themeColor="text1"/>
                <w:szCs w:val="28"/>
              </w:rPr>
              <w:t>- Ủy ban nhân dân các xã</w:t>
            </w:r>
            <w:r>
              <w:rPr>
                <w:color w:val="000000" w:themeColor="text1"/>
                <w:szCs w:val="28"/>
                <w:lang w:val="vi-VN"/>
              </w:rPr>
              <w:t>, thị trấn.</w:t>
            </w:r>
          </w:p>
        </w:tc>
      </w:tr>
    </w:tbl>
    <w:tbl>
      <w:tblPr>
        <w:tblW w:w="0" w:type="auto"/>
        <w:tblInd w:w="108" w:type="dxa"/>
        <w:tblLook w:val="04A0" w:firstRow="1" w:lastRow="0" w:firstColumn="1" w:lastColumn="0" w:noHBand="0" w:noVBand="1"/>
      </w:tblPr>
      <w:tblGrid>
        <w:gridCol w:w="5914"/>
      </w:tblGrid>
      <w:tr>
        <w:tc>
          <w:tcPr>
            <w:tcW w:w="5914" w:type="dxa"/>
            <w:hideMark/>
          </w:tcPr>
          <w:p>
            <w:pPr>
              <w:rPr>
                <w:sz w:val="16"/>
                <w:szCs w:val="16"/>
              </w:rPr>
            </w:pPr>
          </w:p>
        </w:tc>
      </w:tr>
    </w:tbl>
    <w:p>
      <w:pPr>
        <w:spacing w:after="120" w:line="240" w:lineRule="auto"/>
        <w:jc w:val="both"/>
      </w:pPr>
      <w:r>
        <w:rPr>
          <w:szCs w:val="28"/>
          <w:lang w:val="vi-VN"/>
        </w:rPr>
        <w:tab/>
      </w:r>
      <w:r>
        <w:t>Thực hiện Công văn số 711/UBND-VX</w:t>
      </w:r>
      <w:r>
        <w:rPr>
          <w:vertAlign w:val="subscript"/>
        </w:rPr>
        <w:t xml:space="preserve">3  </w:t>
      </w:r>
      <w:r>
        <w:t>ngày 11/2/2025 của Ủy ban nhân dân tỉnh về việc đảm bảo thực hiện nếp sống văn minh, an toàn, tiết kiệm trong các hoạt động lễ hội sau Tết Nguyên đán Ất Tỵ và lễ hội Xuân 2025; Ủy ban nhân dân huyện yêu cầu.</w:t>
      </w:r>
    </w:p>
    <w:p>
      <w:pPr>
        <w:widowControl w:val="0"/>
        <w:spacing w:after="120" w:line="240" w:lineRule="auto"/>
        <w:ind w:firstLine="709"/>
        <w:jc w:val="both"/>
        <w:rPr>
          <w:b/>
        </w:rPr>
      </w:pPr>
      <w:r>
        <w:rPr>
          <w:b/>
        </w:rPr>
        <w:t>1. Ủy ban nhân dân các xã, thị trấn</w:t>
      </w:r>
    </w:p>
    <w:p>
      <w:pPr>
        <w:spacing w:after="120" w:line="240" w:lineRule="auto"/>
        <w:ind w:firstLine="720"/>
        <w:jc w:val="both"/>
        <w:rPr>
          <w:rFonts w:cs="Times New Roman"/>
          <w:szCs w:val="28"/>
        </w:rPr>
      </w:pPr>
      <w:r>
        <w:rPr>
          <w:rFonts w:eastAsia="Times New Roman" w:cs="Times New Roman"/>
          <w:lang w:eastAsia="zh-CN"/>
        </w:rPr>
        <w:t xml:space="preserve">- Tập trung kiểm tra việc tổ chức các lễ hội tại các di tích lịch sử - văn hóa trên địa bàn </w:t>
      </w:r>
      <w:r>
        <w:rPr>
          <w:rFonts w:cs="Times New Roman"/>
          <w:szCs w:val="28"/>
        </w:rPr>
        <w:t>bảo đảm an ninh trật tự, an toàn, tiết kiệm, phù hợp với nếp sống văn minh, truyền thống văn hóa của dân tộc và phong tục, tập quán tốt đẹp của địa phương; rà soát khu vực dịch vụ bảo đảm không lấn chiếm khuôn viên di tích; thực hiện các biện pháp bảo đảm phòng, chống cháy nổ và vệ sinh công cộng.</w:t>
      </w:r>
    </w:p>
    <w:p>
      <w:pPr>
        <w:spacing w:after="120" w:line="240" w:lineRule="auto"/>
        <w:ind w:firstLine="720"/>
        <w:jc w:val="both"/>
        <w:rPr>
          <w:rFonts w:eastAsia="Times New Roman" w:cs="Times New Roman"/>
          <w:lang w:eastAsia="zh-CN"/>
        </w:rPr>
      </w:pPr>
      <w:r>
        <w:rPr>
          <w:rFonts w:eastAsia="Times New Roman" w:cs="Times New Roman"/>
          <w:szCs w:val="28"/>
        </w:rPr>
        <w:t>- Thực hiện kiểm tra và yêu cầu các cơ sở kinh doanh, dịch vụ phải niêm yết công khai và bán đúng giá niêm yết, không chèo kéo và ép giá, ép du khách mua hàng tại các điểm du lịch, lễ hội, bảo đảm chất lượng hàng hóa, dịch vụ; xử lý nghiêm các hành vi lợi dụng di tích, lễ hội, tín ngưỡng để trục lợi, hoạt động mê tín dị đoan, cờ bạc,...</w:t>
      </w:r>
    </w:p>
    <w:p>
      <w:pPr>
        <w:spacing w:after="120" w:line="240" w:lineRule="auto"/>
        <w:ind w:firstLine="567"/>
        <w:jc w:val="both"/>
      </w:pPr>
      <w:r>
        <w:t>- Tăng cường công tác tuyên truyền, phổ biến cho bà con Nhân dân, khách du lịch tham gia các nghi lễ tín ngưỡng phù hợp với truyền thống văn hóa, vận động hạn chế đốt đồ mã, vàng mã tràn lan gây tốn kém, lãng phí nhằm bảo vệ bảo vệ môi trường, cảnh quan và tiết kiệm.</w:t>
      </w:r>
    </w:p>
    <w:p>
      <w:pPr>
        <w:widowControl w:val="0"/>
        <w:spacing w:after="120" w:line="240" w:lineRule="auto"/>
        <w:ind w:firstLine="709"/>
        <w:jc w:val="both"/>
        <w:rPr>
          <w:b/>
        </w:rPr>
      </w:pPr>
      <w:r>
        <w:rPr>
          <w:b/>
        </w:rPr>
        <w:t>2. Các cơ quan, đơn vị, phòng ngành liên quan</w:t>
      </w:r>
    </w:p>
    <w:p>
      <w:pPr>
        <w:spacing w:after="120" w:line="240" w:lineRule="auto"/>
        <w:ind w:firstLine="720"/>
        <w:jc w:val="both"/>
        <w:rPr>
          <w:rFonts w:eastAsia="Times New Roman" w:cs="Times New Roman"/>
          <w:szCs w:val="28"/>
        </w:rPr>
      </w:pPr>
      <w:r>
        <w:rPr>
          <w:rFonts w:eastAsia="Times New Roman" w:cs="Times New Roman"/>
          <w:szCs w:val="28"/>
        </w:rPr>
        <w:t xml:space="preserve">- Tiếp tục tuyên truyền vận động, quán triệt toàn thể cán bộ, công chức, viên chức, người lao động thực hiện nghiêm các quy định, hướng dẫn về tổ chức, tham dự các hoạt động tôn giáo, tín ngưỡng, lễ hội trên địa bàn; bảo đảm an toàn, bảo vệ môi trường, an toàn vệ sinh thực phẩm, thực hiện tiết kiệm, chống lãng phí, nêu cao tinh thần nêu gương của cán bộ, công chức, đảng viên. </w:t>
      </w:r>
    </w:p>
    <w:p>
      <w:pPr>
        <w:spacing w:after="120" w:line="240" w:lineRule="auto"/>
        <w:ind w:firstLine="720"/>
        <w:jc w:val="both"/>
        <w:rPr>
          <w:rFonts w:eastAsia="Times New Roman" w:cs="Times New Roman"/>
          <w:szCs w:val="28"/>
        </w:rPr>
      </w:pPr>
      <w:r>
        <w:rPr>
          <w:rFonts w:eastAsia="Times New Roman" w:cs="Times New Roman"/>
          <w:szCs w:val="28"/>
        </w:rPr>
        <w:t xml:space="preserve">- Quán triệt cán bộ, công chức, viên chức, người lao động trong cơ quan, đơn vị thực hiện nghiêm kỷ cương hành chính, kỷ luật lao động, không tổ chức du xuân trong giờ làm việc, làm ảnh hưởng đến thời gian, tiến độ giải quyết công việc, nhất là đối với Nhân dân địa phương. Tuyệt đối không đi lễ hội trong giờ </w:t>
      </w:r>
      <w:r>
        <w:rPr>
          <w:rFonts w:eastAsia="Times New Roman" w:cs="Times New Roman"/>
          <w:szCs w:val="28"/>
        </w:rPr>
        <w:lastRenderedPageBreak/>
        <w:t xml:space="preserve">hành chính, không sử dụng xe công đi lễ hội, trừ trường hợp thực thi nhiệm vụ; không sử dụng ngân sách nhà nước, phương tiện, tài sản công trái quy định cho hoạt động lễ hội. </w:t>
      </w:r>
    </w:p>
    <w:p>
      <w:pPr>
        <w:spacing w:after="120" w:line="240" w:lineRule="auto"/>
        <w:ind w:firstLine="720"/>
        <w:jc w:val="both"/>
        <w:rPr>
          <w:szCs w:val="28"/>
          <w:lang w:val="nl-NL"/>
        </w:rPr>
      </w:pPr>
      <w:r>
        <w:rPr>
          <w:szCs w:val="28"/>
          <w:lang w:val="nl-NL"/>
        </w:rPr>
        <w:t>Yêu cầu các phòng, ban, đơn vị, Ủy ban nhân dân các xã, thị trấn: Tăng cường giám sát, kiểm tra phát hiện và có hướng xử lý đúng quy định của pháp luật đối với các trường hợp vi phạm. Giao Phòng Văn hóa và Thông tin chủ động theo dõi, đôn đốc, kiểm tra việc thực hiện, kịp thời báo cáo Ủy ban nhân dân huyện những vấn đề phát sinh nếu có./.</w:t>
      </w:r>
    </w:p>
    <w:p>
      <w:pPr>
        <w:spacing w:after="120" w:line="240" w:lineRule="auto"/>
        <w:ind w:firstLine="720"/>
        <w:jc w:val="both"/>
        <w:rPr>
          <w:rFonts w:eastAsia="Times New Roman" w:cs="Times New Roman"/>
          <w:sz w:val="2"/>
          <w:szCs w:val="28"/>
        </w:rPr>
      </w:pPr>
    </w:p>
    <w:tbl>
      <w:tblPr>
        <w:tblW w:w="9360" w:type="dxa"/>
        <w:tblInd w:w="108" w:type="dxa"/>
        <w:tblLayout w:type="fixed"/>
        <w:tblLook w:val="04A0" w:firstRow="1" w:lastRow="0" w:firstColumn="1" w:lastColumn="0" w:noHBand="0" w:noVBand="1"/>
      </w:tblPr>
      <w:tblGrid>
        <w:gridCol w:w="4822"/>
        <w:gridCol w:w="4538"/>
      </w:tblGrid>
      <w:tr>
        <w:trPr>
          <w:trHeight w:val="80"/>
        </w:trPr>
        <w:tc>
          <w:tcPr>
            <w:tcW w:w="4820" w:type="dxa"/>
            <w:hideMark/>
          </w:tcPr>
          <w:p>
            <w:pPr>
              <w:spacing w:after="0" w:line="240" w:lineRule="auto"/>
              <w:jc w:val="both"/>
              <w:rPr>
                <w:rFonts w:eastAsia="Times New Roman" w:cs="Times New Roman"/>
                <w:sz w:val="24"/>
                <w:szCs w:val="24"/>
                <w:lang w:val="vi-VN"/>
              </w:rPr>
            </w:pPr>
            <w:r>
              <w:rPr>
                <w:rFonts w:eastAsia="Times New Roman" w:cs="Times New Roman"/>
                <w:spacing w:val="-2"/>
                <w:sz w:val="24"/>
                <w:szCs w:val="24"/>
              </w:rPr>
              <w:t xml:space="preserve"> </w:t>
            </w:r>
            <w:r>
              <w:rPr>
                <w:rFonts w:eastAsia="Times New Roman" w:cs="Times New Roman"/>
                <w:b/>
                <w:bCs/>
                <w:i/>
                <w:iCs/>
                <w:sz w:val="24"/>
                <w:szCs w:val="24"/>
                <w:lang w:val="vi-VN"/>
              </w:rPr>
              <w:t>Nơi nhận:</w:t>
            </w:r>
            <w:r>
              <w:rPr>
                <w:rFonts w:eastAsia="Times New Roman" w:cs="Times New Roman"/>
                <w:sz w:val="24"/>
                <w:szCs w:val="24"/>
                <w:lang w:val="vi-VN"/>
              </w:rPr>
              <w:t xml:space="preserve"> </w:t>
            </w:r>
          </w:p>
          <w:p>
            <w:pPr>
              <w:spacing w:after="0" w:line="240" w:lineRule="auto"/>
              <w:jc w:val="both"/>
              <w:rPr>
                <w:rFonts w:eastAsia="Times New Roman" w:cs="Times New Roman"/>
                <w:sz w:val="22"/>
                <w:lang w:val="vi-VN"/>
              </w:rPr>
            </w:pPr>
            <w:r>
              <w:rPr>
                <w:rFonts w:eastAsia="Times New Roman" w:cs="Times New Roman"/>
                <w:sz w:val="22"/>
                <w:lang w:val="vi-VN"/>
              </w:rPr>
              <w:t>- Như trên;</w:t>
            </w:r>
          </w:p>
          <w:p>
            <w:pPr>
              <w:spacing w:after="0" w:line="240" w:lineRule="auto"/>
              <w:jc w:val="both"/>
              <w:rPr>
                <w:rFonts w:eastAsia="Times New Roman" w:cs="Times New Roman"/>
                <w:sz w:val="22"/>
                <w:lang w:val="vi-VN"/>
              </w:rPr>
            </w:pPr>
            <w:r>
              <w:rPr>
                <w:rFonts w:eastAsia="Times New Roman" w:cs="Times New Roman"/>
                <w:sz w:val="22"/>
                <w:lang w:val="vi-VN"/>
              </w:rPr>
              <w:t>- Sở Văn hóa, Thể thao và Du lịch Hà Tĩnh;</w:t>
            </w:r>
          </w:p>
          <w:p>
            <w:pPr>
              <w:spacing w:after="0" w:line="240" w:lineRule="auto"/>
              <w:jc w:val="both"/>
              <w:rPr>
                <w:rFonts w:eastAsia="Times New Roman" w:cs="Times New Roman"/>
                <w:sz w:val="22"/>
                <w:lang w:val="vi-VN"/>
              </w:rPr>
            </w:pPr>
            <w:r>
              <w:rPr>
                <w:rFonts w:eastAsia="Times New Roman" w:cs="Times New Roman"/>
                <w:sz w:val="22"/>
                <w:lang w:val="vi-VN"/>
              </w:rPr>
              <w:t>- Chủ tịch</w:t>
            </w:r>
            <w:r>
              <w:rPr>
                <w:rFonts w:eastAsia="Times New Roman" w:cs="Times New Roman"/>
                <w:sz w:val="22"/>
              </w:rPr>
              <w:t>, PCT UBND</w:t>
            </w:r>
            <w:r>
              <w:rPr>
                <w:rFonts w:eastAsia="Times New Roman" w:cs="Times New Roman"/>
                <w:sz w:val="22"/>
                <w:lang w:val="vi-VN"/>
              </w:rPr>
              <w:t xml:space="preserve"> huyện;</w:t>
            </w:r>
          </w:p>
          <w:p>
            <w:pPr>
              <w:spacing w:after="0" w:line="240" w:lineRule="auto"/>
              <w:jc w:val="both"/>
              <w:rPr>
                <w:rFonts w:eastAsia="Times New Roman" w:cs="Times New Roman"/>
                <w:sz w:val="22"/>
              </w:rPr>
            </w:pPr>
            <w:r>
              <w:rPr>
                <w:rFonts w:eastAsia="Times New Roman" w:cs="Times New Roman"/>
                <w:sz w:val="22"/>
              </w:rPr>
              <w:t>- Ban Tuyên giáo Huyện ủy;</w:t>
            </w:r>
          </w:p>
          <w:p>
            <w:pPr>
              <w:spacing w:after="0" w:line="240" w:lineRule="auto"/>
              <w:jc w:val="both"/>
              <w:rPr>
                <w:rFonts w:eastAsia="Times New Roman" w:cs="Times New Roman"/>
                <w:szCs w:val="28"/>
                <w:lang w:val="vi-VN"/>
              </w:rPr>
            </w:pPr>
            <w:r>
              <w:rPr>
                <w:rFonts w:eastAsia="Times New Roman" w:cs="Times New Roman"/>
                <w:sz w:val="22"/>
              </w:rPr>
              <w:t xml:space="preserve">- </w:t>
            </w:r>
            <w:r>
              <w:rPr>
                <w:rFonts w:eastAsia="Times New Roman" w:cs="Times New Roman"/>
                <w:sz w:val="22"/>
                <w:lang w:val="vi-VN"/>
              </w:rPr>
              <w:t xml:space="preserve">Lưu: </w:t>
            </w:r>
            <w:r>
              <w:rPr>
                <w:rFonts w:eastAsia="Times New Roman" w:cs="Times New Roman"/>
                <w:sz w:val="22"/>
              </w:rPr>
              <w:t xml:space="preserve">VT, </w:t>
            </w:r>
            <w:r>
              <w:rPr>
                <w:rFonts w:eastAsia="Times New Roman" w:cs="Times New Roman"/>
                <w:sz w:val="22"/>
                <w:lang w:val="vi-VN"/>
              </w:rPr>
              <w:t>VHTT.</w:t>
            </w:r>
          </w:p>
        </w:tc>
        <w:tc>
          <w:tcPr>
            <w:tcW w:w="4536" w:type="dxa"/>
          </w:tcPr>
          <w:p>
            <w:pPr>
              <w:spacing w:after="0" w:line="240" w:lineRule="auto"/>
              <w:jc w:val="center"/>
              <w:rPr>
                <w:rFonts w:eastAsia="Times New Roman" w:cs="Times New Roman"/>
                <w:b/>
                <w:sz w:val="26"/>
                <w:szCs w:val="26"/>
              </w:rPr>
            </w:pPr>
            <w:r>
              <w:rPr>
                <w:rFonts w:eastAsia="Times New Roman" w:cs="Times New Roman"/>
                <w:b/>
                <w:sz w:val="26"/>
                <w:szCs w:val="26"/>
              </w:rPr>
              <w:t xml:space="preserve">TM. ỦY BAN NHÂN DÂN </w:t>
            </w:r>
          </w:p>
          <w:p>
            <w:pPr>
              <w:spacing w:after="0" w:line="240" w:lineRule="auto"/>
              <w:jc w:val="center"/>
              <w:rPr>
                <w:rFonts w:eastAsia="Times New Roman" w:cs="Times New Roman"/>
                <w:b/>
                <w:sz w:val="26"/>
                <w:szCs w:val="26"/>
              </w:rPr>
            </w:pPr>
            <w:r>
              <w:rPr>
                <w:rFonts w:eastAsia="Times New Roman" w:cs="Times New Roman"/>
                <w:b/>
                <w:sz w:val="26"/>
                <w:szCs w:val="26"/>
              </w:rPr>
              <w:t>KT. CHỦ TỊCH</w:t>
            </w:r>
          </w:p>
          <w:p>
            <w:pPr>
              <w:spacing w:after="0" w:line="240" w:lineRule="auto"/>
              <w:jc w:val="center"/>
              <w:rPr>
                <w:rFonts w:eastAsia="Times New Roman" w:cs="Times New Roman"/>
                <w:b/>
                <w:szCs w:val="28"/>
              </w:rPr>
            </w:pPr>
            <w:r>
              <w:rPr>
                <w:rFonts w:eastAsia="Times New Roman" w:cs="Times New Roman"/>
                <w:b/>
                <w:sz w:val="26"/>
                <w:szCs w:val="26"/>
              </w:rPr>
              <w:t>PHÓ CHỦ TỊCH</w:t>
            </w:r>
          </w:p>
          <w:p>
            <w:pPr>
              <w:spacing w:after="0" w:line="240" w:lineRule="auto"/>
              <w:ind w:firstLine="522"/>
              <w:jc w:val="center"/>
              <w:rPr>
                <w:rFonts w:eastAsia="Times New Roman" w:cs="Times New Roman"/>
                <w:szCs w:val="28"/>
              </w:rPr>
            </w:pPr>
          </w:p>
          <w:p>
            <w:pPr>
              <w:spacing w:after="0" w:line="240" w:lineRule="auto"/>
              <w:ind w:firstLine="522"/>
              <w:jc w:val="center"/>
              <w:rPr>
                <w:rFonts w:eastAsia="Times New Roman" w:cs="Times New Roman"/>
                <w:szCs w:val="28"/>
              </w:rPr>
            </w:pPr>
          </w:p>
          <w:p>
            <w:pPr>
              <w:spacing w:after="0" w:line="240" w:lineRule="auto"/>
              <w:ind w:firstLine="522"/>
              <w:jc w:val="center"/>
              <w:rPr>
                <w:rFonts w:eastAsia="Times New Roman" w:cs="Times New Roman"/>
                <w:szCs w:val="28"/>
              </w:rPr>
            </w:pPr>
          </w:p>
          <w:p>
            <w:pPr>
              <w:spacing w:after="0" w:line="240" w:lineRule="auto"/>
              <w:ind w:firstLine="522"/>
              <w:jc w:val="center"/>
              <w:rPr>
                <w:rFonts w:eastAsia="Times New Roman" w:cs="Times New Roman"/>
                <w:szCs w:val="28"/>
              </w:rPr>
            </w:pPr>
          </w:p>
          <w:p>
            <w:pPr>
              <w:spacing w:after="0" w:line="240" w:lineRule="auto"/>
              <w:ind w:firstLine="522"/>
              <w:jc w:val="center"/>
              <w:rPr>
                <w:rFonts w:eastAsia="Times New Roman" w:cs="Times New Roman"/>
                <w:szCs w:val="28"/>
              </w:rPr>
            </w:pPr>
          </w:p>
          <w:p>
            <w:pPr>
              <w:spacing w:after="0" w:line="240" w:lineRule="auto"/>
              <w:ind w:firstLine="522"/>
              <w:jc w:val="center"/>
              <w:rPr>
                <w:rFonts w:eastAsia="Times New Roman" w:cs="Times New Roman"/>
                <w:szCs w:val="28"/>
              </w:rPr>
            </w:pPr>
          </w:p>
          <w:p>
            <w:pPr>
              <w:spacing w:after="0" w:line="240" w:lineRule="auto"/>
              <w:jc w:val="center"/>
              <w:rPr>
                <w:rFonts w:eastAsia="Times New Roman" w:cs="Times New Roman"/>
                <w:b/>
                <w:bCs/>
                <w:szCs w:val="28"/>
              </w:rPr>
            </w:pPr>
            <w:r>
              <w:rPr>
                <w:rFonts w:eastAsia="Times New Roman" w:cs="Times New Roman"/>
                <w:b/>
                <w:szCs w:val="28"/>
              </w:rPr>
              <w:t>Hồ Thái Sơn</w:t>
            </w:r>
          </w:p>
        </w:tc>
      </w:tr>
    </w:tbl>
    <w:p>
      <w:pPr>
        <w:spacing w:after="60" w:line="240" w:lineRule="auto"/>
        <w:ind w:firstLine="720"/>
        <w:jc w:val="both"/>
        <w:rPr>
          <w:b/>
          <w:lang w:val="vi-VN"/>
        </w:rPr>
      </w:pPr>
    </w:p>
    <w:p>
      <w:pPr>
        <w:spacing w:after="60" w:line="240" w:lineRule="auto"/>
        <w:ind w:firstLine="720"/>
        <w:jc w:val="both"/>
        <w:rPr>
          <w:rFonts w:eastAsia="Times New Roman" w:cs="Times New Roman"/>
          <w:szCs w:val="28"/>
          <w:lang w:val="vi-VN"/>
        </w:rPr>
      </w:pPr>
    </w:p>
    <w:p>
      <w:pPr>
        <w:spacing w:before="120" w:after="0" w:line="240" w:lineRule="auto"/>
        <w:jc w:val="both"/>
        <w:rPr>
          <w:szCs w:val="28"/>
          <w:lang w:val="vi-VN"/>
        </w:rPr>
      </w:pPr>
    </w:p>
    <w:p>
      <w:pPr>
        <w:spacing w:before="120" w:after="0" w:line="240" w:lineRule="auto"/>
        <w:jc w:val="both"/>
        <w:rPr>
          <w:szCs w:val="28"/>
          <w:lang w:val="vi-VN"/>
        </w:rPr>
      </w:pPr>
    </w:p>
    <w:p>
      <w:pPr>
        <w:spacing w:before="120" w:after="0" w:line="240" w:lineRule="auto"/>
        <w:jc w:val="both"/>
        <w:rPr>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tc>
          <w:tcPr>
            <w:tcW w:w="4531" w:type="dxa"/>
          </w:tcPr>
          <w:p>
            <w:pPr>
              <w:rPr>
                <w:b/>
                <w:i/>
                <w:sz w:val="24"/>
                <w:szCs w:val="24"/>
                <w:highlight w:val="white"/>
                <w:u w:color="FF0000"/>
              </w:rPr>
            </w:pPr>
          </w:p>
        </w:tc>
        <w:tc>
          <w:tcPr>
            <w:tcW w:w="4531" w:type="dxa"/>
          </w:tcPr>
          <w:p>
            <w:pPr>
              <w:jc w:val="center"/>
              <w:rPr>
                <w:b/>
                <w:sz w:val="26"/>
                <w:highlight w:val="white"/>
              </w:rPr>
            </w:pPr>
          </w:p>
        </w:tc>
      </w:tr>
    </w:tbl>
    <w:p>
      <w:pPr>
        <w:tabs>
          <w:tab w:val="left" w:pos="3372"/>
        </w:tabs>
        <w:rPr>
          <w:highlight w:val="white"/>
          <w:lang w:val="vi-VN"/>
        </w:rPr>
      </w:pPr>
    </w:p>
    <w:sectPr>
      <w:pgSz w:w="11907" w:h="16840" w:code="9"/>
      <w:pgMar w:top="1021"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57879-E76D-484A-976D-4489B258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pPr>
      <w:keepNext/>
      <w:spacing w:after="0" w:line="240" w:lineRule="auto"/>
      <w:jc w:val="center"/>
      <w:outlineLvl w:val="4"/>
    </w:pPr>
    <w:rPr>
      <w:rFonts w:ascii=".VnTimeH" w:eastAsia="Times New Roman" w:hAnsi=".VnTimeH"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5Char">
    <w:name w:val="Heading 5 Char"/>
    <w:basedOn w:val="DefaultParagraphFont"/>
    <w:link w:val="Heading5"/>
    <w:rPr>
      <w:rFonts w:ascii=".VnTimeH" w:eastAsia="Times New Roman" w:hAnsi=".VnTimeH" w:cs="Times New Roman"/>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6C4A-84C3-4F62-8EEE-7F67F1D9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MacBook</cp:lastModifiedBy>
  <cp:revision>179</cp:revision>
  <cp:lastPrinted>2021-12-02T01:49:00Z</cp:lastPrinted>
  <dcterms:created xsi:type="dcterms:W3CDTF">2025-01-12T00:06:00Z</dcterms:created>
  <dcterms:modified xsi:type="dcterms:W3CDTF">2025-02-14T01:59:00Z</dcterms:modified>
</cp:coreProperties>
</file>