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1E0" w:firstRow="1" w:lastRow="1" w:firstColumn="1" w:lastColumn="1" w:noHBand="0" w:noVBand="0"/>
      </w:tblPr>
      <w:tblGrid>
        <w:gridCol w:w="3056"/>
        <w:gridCol w:w="6231"/>
      </w:tblGrid>
      <w:tr>
        <w:tc>
          <w:tcPr>
            <w:tcW w:w="3056" w:type="dxa"/>
          </w:tcPr>
          <w:p>
            <w:pPr>
              <w:spacing w:line="320" w:lineRule="exact"/>
              <w:jc w:val="center"/>
              <w:rPr>
                <w:rFonts w:ascii="Times New Roman" w:hAnsi="Times New Roman"/>
                <w:b/>
                <w:bCs/>
                <w:sz w:val="26"/>
                <w:szCs w:val="26"/>
              </w:rPr>
            </w:pPr>
            <w:r>
              <w:rPr>
                <w:rFonts w:ascii="Times New Roman" w:hAnsi="Times New Roman"/>
                <w:b/>
                <w:bCs/>
                <w:sz w:val="26"/>
                <w:szCs w:val="26"/>
              </w:rPr>
              <w:t>ỦY BAN NHÂN DÂN</w:t>
            </w:r>
          </w:p>
        </w:tc>
        <w:tc>
          <w:tcPr>
            <w:tcW w:w="6231" w:type="dxa"/>
          </w:tcPr>
          <w:p>
            <w:pPr>
              <w:spacing w:line="320" w:lineRule="exact"/>
              <w:jc w:val="center"/>
              <w:rPr>
                <w:rFonts w:ascii="Times New Roman" w:hAnsi="Times New Roman"/>
                <w:b/>
                <w:bCs/>
                <w:sz w:val="26"/>
                <w:szCs w:val="26"/>
              </w:rPr>
            </w:pPr>
            <w:r>
              <w:rPr>
                <w:rFonts w:ascii="Times New Roman" w:hAnsi="Times New Roman"/>
                <w:b/>
                <w:bCs/>
                <w:sz w:val="26"/>
                <w:szCs w:val="26"/>
              </w:rPr>
              <w:t>CỘNG HOÀ XÃ HỘI CHỦ NGHĨA VIỆT NAM</w:t>
            </w:r>
          </w:p>
        </w:tc>
      </w:tr>
      <w:tr>
        <w:tc>
          <w:tcPr>
            <w:tcW w:w="3056" w:type="dxa"/>
          </w:tcPr>
          <w:p>
            <w:pPr>
              <w:spacing w:line="320" w:lineRule="exact"/>
              <w:jc w:val="center"/>
              <w:rPr>
                <w:rFonts w:ascii="Times New Roman" w:hAnsi="Times New Roman"/>
                <w:b/>
                <w:bCs/>
                <w:sz w:val="26"/>
                <w:szCs w:val="26"/>
              </w:rPr>
            </w:pPr>
            <w:r>
              <w:rPr>
                <w:rFonts w:ascii="Times New Roman" w:hAnsi="Times New Roman"/>
                <w:b/>
                <w:bCs/>
                <w:sz w:val="26"/>
                <w:szCs w:val="26"/>
              </w:rPr>
              <w:t>HUYỆN HƯƠNG SƠN</w:t>
            </w:r>
          </w:p>
        </w:tc>
        <w:tc>
          <w:tcPr>
            <w:tcW w:w="6231" w:type="dxa"/>
          </w:tcPr>
          <w:p>
            <w:pPr>
              <w:spacing w:line="320" w:lineRule="exact"/>
              <w:jc w:val="center"/>
              <w:rPr>
                <w:rFonts w:ascii="Times New Roman" w:hAnsi="Times New Roman"/>
                <w:b/>
                <w:bCs/>
              </w:rPr>
            </w:pPr>
            <w:r>
              <w:rPr>
                <w:rFonts w:ascii="Times New Roman" w:hAnsi="Times New Roman"/>
                <w:b/>
                <w:bCs/>
              </w:rPr>
              <w:t>Độc lập - Tự do - Hạnh phúc</w:t>
            </w:r>
          </w:p>
        </w:tc>
      </w:tr>
      <w:tr>
        <w:tc>
          <w:tcPr>
            <w:tcW w:w="3056" w:type="dxa"/>
          </w:tcPr>
          <w:p>
            <w:pPr>
              <w:rPr>
                <w:rFonts w:ascii="Times New Roman" w:hAnsi="Times New Roman"/>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617220</wp:posOffset>
                      </wp:positionH>
                      <wp:positionV relativeFrom="paragraph">
                        <wp:posOffset>35560</wp:posOffset>
                      </wp:positionV>
                      <wp:extent cx="571500" cy="0"/>
                      <wp:effectExtent l="7620" t="6985" r="11430" b="12065"/>
                      <wp:wrapNone/>
                      <wp:docPr id="4"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8pt" to="9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"/>
                  </w:pict>
                </mc:Fallback>
              </mc:AlternateContent>
            </w:r>
          </w:p>
          <w:p>
            <w:pPr>
              <w:jc w:val="center"/>
              <w:rPr>
                <w:rFonts w:ascii="Times New Roman" w:hAnsi="Times New Roman"/>
                <w:sz w:val="26"/>
                <w:szCs w:val="26"/>
              </w:rPr>
            </w:pPr>
            <w:r>
              <w:rPr>
                <w:rFonts w:ascii="Times New Roman" w:hAnsi="Times New Roman"/>
                <w:sz w:val="26"/>
                <w:szCs w:val="26"/>
              </w:rPr>
              <w:t xml:space="preserve">Số:           /QĐ-UBND                              </w:t>
            </w:r>
          </w:p>
        </w:tc>
        <w:tc>
          <w:tcPr>
            <w:tcW w:w="6231" w:type="dxa"/>
          </w:tcPr>
          <w:p>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826770</wp:posOffset>
                      </wp:positionH>
                      <wp:positionV relativeFrom="paragraph">
                        <wp:posOffset>33655</wp:posOffset>
                      </wp:positionV>
                      <wp:extent cx="2171700" cy="0"/>
                      <wp:effectExtent l="7620" t="5080" r="11430" b="13970"/>
                      <wp:wrapNone/>
                      <wp:docPr id="5"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65pt" to="23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"/>
                  </w:pict>
                </mc:Fallback>
              </mc:AlternateContent>
            </w:r>
          </w:p>
          <w:p>
            <w:pPr>
              <w:jc w:val="center"/>
              <w:rPr>
                <w:rFonts w:ascii="Times New Roman" w:hAnsi="Times New Roman"/>
                <w:i/>
                <w:iCs/>
              </w:rPr>
            </w:pPr>
            <w:r>
              <w:rPr>
                <w:rFonts w:ascii="Times New Roman" w:hAnsi="Times New Roman"/>
                <w:i/>
                <w:iCs/>
              </w:rPr>
              <w:t>Hương Sơn, ngày      tháng 10 năm 2024</w:t>
            </w:r>
          </w:p>
        </w:tc>
      </w:tr>
    </w:tbl>
    <w:p>
      <w:pPr>
        <w:jc w:val="center"/>
        <w:rPr>
          <w:rFonts w:ascii="Times New Roman" w:hAnsi="Times New Roman"/>
          <w:sz w:val="10"/>
          <w:szCs w:val="20"/>
        </w:rPr>
      </w:pPr>
    </w:p>
    <w:p>
      <w:pPr>
        <w:jc w:val="center"/>
        <w:rPr>
          <w:rFonts w:ascii="Times New Roman" w:hAnsi="Times New Roman"/>
          <w:b/>
          <w:bCs/>
        </w:rPr>
      </w:pPr>
    </w:p>
    <w:p>
      <w:pPr>
        <w:jc w:val="center"/>
        <w:rPr>
          <w:rFonts w:ascii="Times New Roman" w:hAnsi="Times New Roman"/>
          <w:b/>
          <w:bCs/>
        </w:rPr>
      </w:pPr>
      <w:r>
        <w:rPr>
          <w:rFonts w:ascii="Times New Roman" w:hAnsi="Times New Roman"/>
          <w:b/>
          <w:bCs/>
        </w:rPr>
        <w:t>QUYẾT ĐỊNH</w:t>
      </w:r>
    </w:p>
    <w:p>
      <w:pPr>
        <w:jc w:val="center"/>
        <w:rPr>
          <w:rFonts w:ascii="Times New Roman" w:hAnsi="Times New Roman"/>
          <w:b/>
          <w:bCs/>
        </w:rPr>
      </w:pPr>
      <w:r>
        <w:rPr>
          <w:rFonts w:ascii="Times New Roman" w:hAnsi="Times New Roman"/>
          <w:b/>
          <w:bCs/>
        </w:rPr>
        <w:t>Về việc xếp lương đối với cán bộ cấp xã</w:t>
      </w:r>
    </w:p>
    <w:p>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2428875</wp:posOffset>
                </wp:positionH>
                <wp:positionV relativeFrom="paragraph">
                  <wp:posOffset>29210</wp:posOffset>
                </wp:positionV>
                <wp:extent cx="914400" cy="0"/>
                <wp:effectExtent l="9525" t="10160" r="9525" b="8890"/>
                <wp:wrapNone/>
                <wp:docPr id="6"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3pt" to="26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vVwAEAAGoDAAAOAAAAZHJzL2Uyb0RvYy54bWysU02P2yAQvVfqf0DcGzvRbtp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"/>
            </w:pict>
          </mc:Fallback>
        </mc:AlternateContent>
      </w:r>
    </w:p>
    <w:p>
      <w:pPr>
        <w:jc w:val="center"/>
        <w:rPr>
          <w:rFonts w:ascii="Times New Roman" w:hAnsi="Times New Roman"/>
          <w:sz w:val="4"/>
        </w:rPr>
      </w:pPr>
    </w:p>
    <w:p>
      <w:pPr>
        <w:jc w:val="center"/>
        <w:rPr>
          <w:rFonts w:ascii="Times New Roman" w:hAnsi="Times New Roman"/>
          <w:b/>
          <w:bCs/>
        </w:rPr>
      </w:pPr>
    </w:p>
    <w:p>
      <w:pPr>
        <w:jc w:val="center"/>
        <w:rPr>
          <w:rFonts w:ascii="Times New Roman" w:hAnsi="Times New Roman"/>
          <w:b/>
          <w:bCs/>
        </w:rPr>
      </w:pPr>
      <w:r>
        <w:rPr>
          <w:rFonts w:ascii="Times New Roman" w:hAnsi="Times New Roman"/>
          <w:b/>
          <w:bCs/>
        </w:rPr>
        <w:t>ỦY BAN NHÂN DÂN HUYỆN</w:t>
      </w:r>
    </w:p>
    <w:p>
      <w:pPr>
        <w:rPr>
          <w:rFonts w:ascii="Times New Roman" w:hAnsi="Times New Roman"/>
          <w:sz w:val="14"/>
          <w:szCs w:val="20"/>
        </w:rPr>
      </w:pPr>
    </w:p>
    <w:p>
      <w:pPr>
        <w:jc w:val="both"/>
        <w:rPr>
          <w:rFonts w:ascii="Times New Roman" w:hAnsi="Times New Roman"/>
        </w:rPr>
      </w:pPr>
      <w:r>
        <w:rPr>
          <w:rFonts w:ascii="Times New Roman" w:hAnsi="Times New Roman"/>
        </w:rPr>
        <w:tab/>
      </w:r>
    </w:p>
    <w:p>
      <w:pPr>
        <w:spacing w:after="16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pPr>
        <w:spacing w:after="160"/>
        <w:ind w:firstLine="720"/>
        <w:jc w:val="both"/>
        <w:rPr>
          <w:rFonts w:ascii="Times New Roman" w:hAnsi="Times New Roman"/>
          <w:i/>
          <w:spacing w:val="-2"/>
        </w:rPr>
      </w:pPr>
      <w:r>
        <w:rPr>
          <w:rFonts w:ascii="Times New Roman" w:hAnsi="Times New Roman"/>
          <w:i/>
          <w:spacing w:val="-2"/>
        </w:rPr>
        <w:t>Căn cứ các Nghị định của Chính phủ: số 204/2004/NĐ-CP ngày 14/12/2004 về chế độ tiền lương đối với cán bộ, công chức, viên chức và lực lượng vũ trang;</w:t>
      </w:r>
      <w:r>
        <w:rPr>
          <w:rFonts w:ascii="Times New Roman" w:hAnsi="Times New Roman"/>
          <w:i/>
          <w:spacing w:val="-2"/>
          <w:lang w:val="nl-NL"/>
        </w:rPr>
        <w:t xml:space="preserve"> số 33/2023/NĐ-CP ngày 10/6/2023 quy định về </w:t>
      </w:r>
      <w:r>
        <w:rPr>
          <w:rFonts w:ascii="Times New Roman" w:hAnsi="Times New Roman"/>
          <w:i/>
          <w:spacing w:val="-2"/>
        </w:rPr>
        <w:t xml:space="preserve">cán bộ, công chức cấp xã và người hoạt động không chuyên trách ở cấp xã, ở thôn, tổ dân phố; </w:t>
      </w:r>
    </w:p>
    <w:p>
      <w:pPr>
        <w:spacing w:after="160"/>
        <w:ind w:firstLine="720"/>
        <w:jc w:val="both"/>
        <w:rPr>
          <w:rFonts w:ascii="Times New Roman" w:hAnsi="Times New Roman"/>
          <w:i/>
        </w:rPr>
      </w:pPr>
      <w:r>
        <w:rPr>
          <w:rFonts w:ascii="Times New Roman" w:hAnsi="Times New Roman"/>
          <w:i/>
        </w:rPr>
        <w:t xml:space="preserve">Căn cứ Thông tư số </w:t>
      </w:r>
      <w:r>
        <w:rPr>
          <w:rFonts w:ascii="Times New Roman" w:hAnsi="Times New Roman"/>
          <w:i/>
          <w:color w:val="000000"/>
        </w:rPr>
        <w:t xml:space="preserve">02/2007/TT-BNV ngày 25/5/2007 của Bộ trưởng Bộ Nội vụ </w:t>
      </w:r>
      <w:r>
        <w:rPr>
          <w:rFonts w:ascii="Times New Roman" w:hAnsi="Times New Roman"/>
          <w:i/>
          <w:iCs/>
          <w:color w:val="000000"/>
        </w:rPr>
        <w:t>hướng dẫn xếp lương khi nâng ngạch, chuyển ngạch, chuyển loại công chức, viên chức;</w:t>
      </w:r>
    </w:p>
    <w:p>
      <w:pPr>
        <w:spacing w:after="160"/>
        <w:ind w:firstLine="720"/>
        <w:jc w:val="both"/>
        <w:rPr>
          <w:rFonts w:ascii="Times New Roman" w:hAnsi="Times New Roman"/>
          <w:i/>
        </w:rPr>
      </w:pPr>
      <w:r>
        <w:rPr>
          <w:rFonts w:ascii="Times New Roman" w:hAnsi="Times New Roman"/>
          <w:i/>
        </w:rPr>
        <w:t xml:space="preserve">Căn cứ Quyết định số 55/2021/QĐ-UBND ngày 31/12/2021 của Ủy ban nhân dân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pPr>
        <w:spacing w:after="160"/>
        <w:ind w:firstLine="720"/>
        <w:jc w:val="both"/>
        <w:rPr>
          <w:rFonts w:ascii="Times New Roman" w:hAnsi="Times New Roman"/>
          <w:i/>
        </w:rPr>
      </w:pPr>
      <w:r>
        <w:rPr>
          <w:rFonts w:ascii="Times New Roman" w:hAnsi="Times New Roman"/>
          <w:i/>
        </w:rPr>
        <w:t>Theo đề nghị của UBND xã Sơn Giang tại Tờ trình số 48/TTr-UBND ngày 12/9/2024 và đề nghị của Trưởng phòng Nội vụ.</w:t>
      </w:r>
    </w:p>
    <w:p>
      <w:pPr>
        <w:ind w:firstLine="720"/>
        <w:jc w:val="both"/>
        <w:rPr>
          <w:rFonts w:ascii="Times New Roman" w:hAnsi="Times New Roman"/>
          <w:i/>
          <w:sz w:val="16"/>
        </w:rPr>
      </w:pPr>
    </w:p>
    <w:p>
      <w:pPr>
        <w:ind w:firstLine="720"/>
        <w:jc w:val="center"/>
        <w:rPr>
          <w:rFonts w:ascii="Times New Roman" w:hAnsi="Times New Roman"/>
          <w:b/>
          <w:bCs/>
        </w:rPr>
      </w:pPr>
      <w:r>
        <w:rPr>
          <w:rFonts w:ascii="Times New Roman" w:hAnsi="Times New Roman"/>
          <w:b/>
          <w:bCs/>
        </w:rPr>
        <w:t>QUYẾT ĐỊNH:</w:t>
      </w:r>
    </w:p>
    <w:p>
      <w:pPr>
        <w:spacing w:after="120"/>
        <w:ind w:firstLine="720"/>
        <w:jc w:val="center"/>
        <w:rPr>
          <w:rFonts w:ascii="Times New Roman" w:hAnsi="Times New Roman"/>
          <w:b/>
          <w:bCs/>
          <w:sz w:val="18"/>
        </w:rPr>
      </w:pPr>
    </w:p>
    <w:p>
      <w:pPr>
        <w:spacing w:after="160"/>
        <w:ind w:firstLine="720"/>
        <w:jc w:val="both"/>
        <w:rPr>
          <w:rFonts w:ascii="Times New Roman" w:hAnsi="Times New Roman"/>
          <w:b/>
        </w:rPr>
      </w:pPr>
      <w:r>
        <w:rPr>
          <w:rFonts w:ascii="Times New Roman" w:hAnsi="Times New Roman"/>
          <w:b/>
        </w:rPr>
        <w:t>Điều 1.</w:t>
      </w:r>
      <w:r>
        <w:rPr>
          <w:rFonts w:ascii="Times New Roman" w:hAnsi="Times New Roman"/>
        </w:rPr>
        <w:t xml:space="preserve"> Chuyển xếp lương đối với ông Phan Văn Chương; </w:t>
      </w:r>
    </w:p>
    <w:p>
      <w:pPr>
        <w:spacing w:after="160"/>
        <w:jc w:val="both"/>
        <w:rPr>
          <w:rFonts w:ascii="Times New Roman" w:hAnsi="Times New Roman"/>
        </w:rPr>
      </w:pPr>
      <w:r>
        <w:rPr>
          <w:rFonts w:ascii="Times New Roman" w:hAnsi="Times New Roman"/>
        </w:rPr>
        <w:tab/>
        <w:t>Chức vụ, đơn vị công tác: Phó Chủ tịch Ủy ban nhân dân xã Sơn Giang;</w:t>
      </w:r>
    </w:p>
    <w:p>
      <w:pPr>
        <w:spacing w:after="160"/>
        <w:jc w:val="both"/>
        <w:rPr>
          <w:rFonts w:ascii="Times New Roman" w:hAnsi="Times New Roman"/>
        </w:rPr>
      </w:pPr>
      <w:r>
        <w:rPr>
          <w:rFonts w:ascii="Times New Roman" w:hAnsi="Times New Roman"/>
          <w:spacing w:val="-12"/>
        </w:rPr>
        <w:tab/>
      </w:r>
      <w:r>
        <w:rPr>
          <w:rFonts w:ascii="Times New Roman" w:hAnsi="Times New Roman"/>
        </w:rPr>
        <w:t>Trình độ chuyên môn: Cử nhân Kinh tế nông nghiệp;</w:t>
      </w:r>
    </w:p>
    <w:p>
      <w:pPr>
        <w:spacing w:after="160"/>
        <w:jc w:val="both"/>
        <w:rPr>
          <w:rFonts w:ascii="Times New Roman" w:hAnsi="Times New Roman"/>
        </w:rPr>
      </w:pPr>
      <w:r>
        <w:rPr>
          <w:rFonts w:ascii="Times New Roman" w:hAnsi="Times New Roman"/>
          <w:spacing w:val="-12"/>
        </w:rPr>
        <w:tab/>
        <w:t>T</w:t>
      </w:r>
      <w:r>
        <w:rPr>
          <w:rFonts w:ascii="Times New Roman" w:hAnsi="Times New Roman"/>
        </w:rPr>
        <w:t>ừ ngạch: Cán sự, mã số 01.004; Bậc 5; Hệ số: 2,66;</w:t>
      </w:r>
    </w:p>
    <w:p>
      <w:pPr>
        <w:spacing w:after="160"/>
        <w:ind w:firstLine="720"/>
        <w:jc w:val="both"/>
        <w:rPr>
          <w:rFonts w:ascii="Times New Roman" w:hAnsi="Times New Roman"/>
        </w:rPr>
      </w:pPr>
      <w:r>
        <w:rPr>
          <w:rFonts w:ascii="Times New Roman" w:hAnsi="Times New Roman"/>
          <w:spacing w:val="-2"/>
        </w:rPr>
        <w:t>Vào ngạch: Chuyên viên, mã số 01.003; Bậc 2; Hệ số 2,67.</w:t>
      </w:r>
    </w:p>
    <w:p>
      <w:pPr>
        <w:spacing w:after="160"/>
        <w:ind w:firstLine="720"/>
        <w:jc w:val="both"/>
        <w:rPr>
          <w:rFonts w:ascii="Times New Roman" w:hAnsi="Times New Roman"/>
        </w:rPr>
      </w:pPr>
      <w:r>
        <w:rPr>
          <w:rFonts w:ascii="Times New Roman" w:hAnsi="Times New Roman"/>
          <w:b/>
          <w:bCs/>
        </w:rPr>
        <w:t>Điều 2</w:t>
      </w:r>
      <w:r>
        <w:rPr>
          <w:rFonts w:ascii="Times New Roman" w:hAnsi="Times New Roman"/>
        </w:rPr>
        <w:t xml:space="preserve">. Mức lương mới được hưởng kể từ ngày 01/10/2024. </w:t>
      </w:r>
    </w:p>
    <w:p>
      <w:pPr>
        <w:spacing w:after="160"/>
        <w:ind w:firstLine="720"/>
        <w:jc w:val="both"/>
        <w:rPr>
          <w:rFonts w:ascii="Times New Roman" w:hAnsi="Times New Roman"/>
        </w:rPr>
      </w:pPr>
      <w:r>
        <w:rPr>
          <w:rFonts w:ascii="Times New Roman" w:hAnsi="Times New Roman"/>
        </w:rPr>
        <w:t>Thời gian tính nâng bậc lương lần sau kể từ ngày 01/11/2023.</w:t>
      </w:r>
    </w:p>
    <w:p>
      <w:pPr>
        <w:spacing w:after="160"/>
        <w:jc w:val="both"/>
        <w:rPr>
          <w:rFonts w:ascii="Times New Roman" w:hAnsi="Times New Roman"/>
        </w:rPr>
      </w:pPr>
      <w:r>
        <w:rPr>
          <w:rFonts w:ascii="Times New Roman" w:hAnsi="Times New Roman"/>
        </w:rPr>
        <w:lastRenderedPageBreak/>
        <w:tab/>
      </w:r>
      <w:r>
        <w:rPr>
          <w:rFonts w:ascii="Times New Roman" w:hAnsi="Times New Roman"/>
          <w:b/>
          <w:bCs/>
        </w:rPr>
        <w:t>Điều 3</w:t>
      </w:r>
      <w:r>
        <w:rPr>
          <w:rFonts w:ascii="Times New Roman" w:hAnsi="Times New Roman"/>
        </w:rPr>
        <w:t>. Quyết định này có hiệu lực kể từ ngày ban hành.</w:t>
      </w:r>
    </w:p>
    <w:p>
      <w:pPr>
        <w:spacing w:after="120"/>
        <w:jc w:val="both"/>
        <w:rPr>
          <w:rFonts w:ascii="Times New Roman" w:hAnsi="Times New Roman"/>
        </w:rPr>
      </w:pPr>
      <w:r>
        <w:rPr>
          <w:rFonts w:ascii="Times New Roman" w:hAnsi="Times New Roman"/>
        </w:rPr>
        <w:tab/>
        <w:t>Chánh Văn phòng HĐND - UBND huyện; Trưởng Phòng Nội vụ; Thủ trưởng các cơ quan, đơn vị liên quan; Chủ tịch Ủy ban nhân dân xã Sơn Giang và ông Phan Văn Chương chịu trách nhiệm thi hành Quyết định này./.</w:t>
      </w:r>
    </w:p>
    <w:p>
      <w:pPr>
        <w:jc w:val="both"/>
        <w:rPr>
          <w:rFonts w:ascii="Times New Roman" w:hAnsi="Times New Roman"/>
        </w:rPr>
      </w:pPr>
    </w:p>
    <w:p>
      <w:pPr>
        <w:jc w:val="both"/>
        <w:rPr>
          <w:rFonts w:ascii="Times New Roman" w:hAnsi="Times New Roman"/>
          <w:sz w:val="8"/>
          <w:szCs w:val="8"/>
        </w:rPr>
      </w:pPr>
    </w:p>
    <w:tbl>
      <w:tblPr>
        <w:tblW w:w="9287" w:type="dxa"/>
        <w:tblLook w:val="01E0" w:firstRow="1" w:lastRow="1" w:firstColumn="1" w:lastColumn="1" w:noHBand="0" w:noVBand="0"/>
      </w:tblPr>
      <w:tblGrid>
        <w:gridCol w:w="4234"/>
        <w:gridCol w:w="5053"/>
      </w:tblGrid>
      <w:tr>
        <w:trPr>
          <w:trHeight w:val="1799"/>
        </w:trPr>
        <w:tc>
          <w:tcPr>
            <w:tcW w:w="4234" w:type="dxa"/>
          </w:tcPr>
          <w:p>
            <w:pPr>
              <w:jc w:val="both"/>
              <w:rPr>
                <w:rFonts w:ascii="Times New Roman" w:hAnsi="Times New Roman"/>
                <w:sz w:val="24"/>
                <w:szCs w:val="24"/>
              </w:rPr>
            </w:pPr>
            <w:r>
              <w:rPr>
                <w:rFonts w:ascii="Times New Roman" w:hAnsi="Times New Roman"/>
                <w:b/>
                <w:bCs/>
                <w:i/>
                <w:iCs/>
                <w:sz w:val="24"/>
                <w:szCs w:val="24"/>
              </w:rPr>
              <w:t>Nơi nhận:</w:t>
            </w:r>
          </w:p>
          <w:p>
            <w:pPr>
              <w:jc w:val="both"/>
              <w:rPr>
                <w:rFonts w:ascii="Times New Roman" w:hAnsi="Times New Roman"/>
                <w:sz w:val="22"/>
                <w:szCs w:val="22"/>
              </w:rPr>
            </w:pPr>
            <w:r>
              <w:rPr>
                <w:rFonts w:ascii="Times New Roman" w:hAnsi="Times New Roman"/>
                <w:sz w:val="22"/>
                <w:szCs w:val="22"/>
              </w:rPr>
              <w:t>- Như Điều 3;</w:t>
            </w:r>
          </w:p>
          <w:p>
            <w:pPr>
              <w:jc w:val="both"/>
              <w:rPr>
                <w:rFonts w:ascii="Times New Roman" w:hAnsi="Times New Roman"/>
                <w:sz w:val="22"/>
                <w:szCs w:val="22"/>
              </w:rPr>
            </w:pPr>
            <w:r>
              <w:rPr>
                <w:rFonts w:ascii="Times New Roman" w:hAnsi="Times New Roman"/>
                <w:sz w:val="22"/>
                <w:szCs w:val="22"/>
              </w:rPr>
              <w:t>- Lưu VT.</w:t>
            </w:r>
          </w:p>
        </w:tc>
        <w:tc>
          <w:tcPr>
            <w:tcW w:w="5053" w:type="dxa"/>
          </w:tcPr>
          <w:p>
            <w:pPr>
              <w:jc w:val="center"/>
              <w:rPr>
                <w:rFonts w:ascii="Times New Roman" w:hAnsi="Times New Roman"/>
                <w:b/>
                <w:bCs/>
                <w:sz w:val="26"/>
                <w:szCs w:val="26"/>
              </w:rPr>
            </w:pPr>
            <w:r>
              <w:rPr>
                <w:rFonts w:ascii="Times New Roman" w:hAnsi="Times New Roman"/>
                <w:b/>
                <w:bCs/>
                <w:sz w:val="26"/>
                <w:szCs w:val="26"/>
              </w:rPr>
              <w:t>TM. ỦY BAN NHÂN DÂN</w:t>
            </w:r>
          </w:p>
          <w:p>
            <w:pPr>
              <w:jc w:val="center"/>
              <w:rPr>
                <w:rFonts w:ascii="Times New Roman" w:hAnsi="Times New Roman"/>
                <w:b/>
                <w:bCs/>
                <w:sz w:val="26"/>
                <w:szCs w:val="26"/>
              </w:rPr>
            </w:pPr>
            <w:r>
              <w:rPr>
                <w:rFonts w:ascii="Times New Roman" w:hAnsi="Times New Roman"/>
                <w:b/>
                <w:bCs/>
                <w:sz w:val="26"/>
                <w:szCs w:val="26"/>
              </w:rPr>
              <w:t>KT. CHỦ TỊCH</w:t>
            </w:r>
          </w:p>
          <w:p>
            <w:pPr>
              <w:jc w:val="center"/>
              <w:rPr>
                <w:rFonts w:ascii="Times New Roman" w:hAnsi="Times New Roman"/>
                <w:b/>
                <w:bCs/>
                <w:sz w:val="26"/>
                <w:szCs w:val="26"/>
              </w:rPr>
            </w:pPr>
            <w:r>
              <w:rPr>
                <w:rFonts w:ascii="Times New Roman" w:hAnsi="Times New Roman"/>
                <w:b/>
                <w:bCs/>
                <w:sz w:val="26"/>
                <w:szCs w:val="26"/>
              </w:rPr>
              <w:t>PHÓ CHỦ TỊCH</w:t>
            </w: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b/>
                <w:bCs/>
              </w:rPr>
            </w:pPr>
          </w:p>
          <w:p>
            <w:pPr>
              <w:spacing w:line="320" w:lineRule="exact"/>
              <w:jc w:val="center"/>
              <w:rPr>
                <w:rFonts w:ascii="Times New Roman" w:hAnsi="Times New Roman"/>
              </w:rPr>
            </w:pPr>
            <w:r>
              <w:rPr>
                <w:rFonts w:ascii="Times New Roman" w:hAnsi="Times New Roman"/>
                <w:b/>
                <w:bCs/>
              </w:rPr>
              <w:t>Hồ Thái Sơn</w:t>
            </w:r>
          </w:p>
        </w:tc>
      </w:tr>
    </w:tbl>
    <w:p>
      <w:pPr>
        <w:rPr>
          <w:rFonts w:ascii="Times New Roman" w:hAnsi="Times New Roman"/>
          <w:color w:val="FF0000"/>
        </w:rPr>
      </w:pPr>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BA1487-36FE-4DBA-9045-83670ED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5968-3985-4737-BFA4-217EA7C8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316</Words>
  <Characters>1804</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Nội Vụ - UBND Huyện Hương Sơn</vt:lpstr>
      <vt:lpstr>Phòng Nội Vụ - UBND Huyện Hương Sơn</vt:lpstr>
    </vt:vector>
  </TitlesOfParts>
  <Company>UBND huyen Huong Son</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Huyện Hương Sơn</dc:title>
  <dc:creator>Tran Minh</dc:creator>
  <cp:lastModifiedBy>NHU DEP TRAI</cp:lastModifiedBy>
  <cp:revision>68</cp:revision>
  <cp:lastPrinted>2024-08-05T09:33:00Z</cp:lastPrinted>
  <dcterms:created xsi:type="dcterms:W3CDTF">2022-02-22T03:01:00Z</dcterms:created>
  <dcterms:modified xsi:type="dcterms:W3CDTF">2024-10-03T07:30:00Z</dcterms:modified>
</cp:coreProperties>
</file>